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D6ACB" w14:textId="567C646F" w:rsidR="0017339B" w:rsidRDefault="0017339B" w:rsidP="0017339B">
      <w:pPr>
        <w:tabs>
          <w:tab w:val="left" w:pos="1926"/>
        </w:tabs>
        <w:rPr>
          <w:b/>
          <w:bCs/>
          <w:szCs w:val="22"/>
        </w:rPr>
      </w:pPr>
      <w:bookmarkStart w:id="0" w:name="_Toc161409977"/>
    </w:p>
    <w:p w14:paraId="3F86A472" w14:textId="0564E270" w:rsidR="0017339B" w:rsidRPr="00EB48A7" w:rsidRDefault="0017339B" w:rsidP="0017339B">
      <w:pPr>
        <w:tabs>
          <w:tab w:val="left" w:pos="1926"/>
        </w:tabs>
        <w:jc w:val="center"/>
        <w:rPr>
          <w:b/>
          <w:bCs/>
          <w:szCs w:val="22"/>
        </w:rPr>
      </w:pPr>
      <w:r w:rsidRPr="00EB48A7">
        <w:rPr>
          <w:b/>
          <w:bCs/>
          <w:szCs w:val="22"/>
        </w:rPr>
        <w:t>2025 Russell Vorpagel Engineering Scholarship x 2 (Mechanical &amp; Electrical)</w:t>
      </w:r>
    </w:p>
    <w:p w14:paraId="2B5F73D2" w14:textId="77777777" w:rsidR="0017339B" w:rsidRPr="00EB48A7" w:rsidRDefault="0017339B" w:rsidP="0017339B">
      <w:pPr>
        <w:tabs>
          <w:tab w:val="left" w:pos="1926"/>
        </w:tabs>
        <w:rPr>
          <w:b/>
          <w:bCs/>
          <w:szCs w:val="22"/>
        </w:rPr>
      </w:pPr>
    </w:p>
    <w:p w14:paraId="5D8F626E" w14:textId="5AD5F7C1" w:rsidR="0017339B" w:rsidRPr="00EB48A7" w:rsidRDefault="0017339B" w:rsidP="0017339B">
      <w:pPr>
        <w:tabs>
          <w:tab w:val="left" w:pos="1926"/>
        </w:tabs>
        <w:rPr>
          <w:b/>
          <w:bCs/>
          <w:szCs w:val="22"/>
        </w:rPr>
      </w:pPr>
    </w:p>
    <w:p w14:paraId="41E7006E" w14:textId="4288ECE7" w:rsidR="0017339B" w:rsidRPr="00EB48A7" w:rsidRDefault="00FD36DE" w:rsidP="00EB48A7">
      <w:pPr>
        <w:tabs>
          <w:tab w:val="left" w:pos="1926"/>
        </w:tabs>
        <w:jc w:val="both"/>
        <w:rPr>
          <w:szCs w:val="22"/>
        </w:rPr>
      </w:pPr>
      <w:r w:rsidRPr="00EB48A7">
        <w:rPr>
          <w:szCs w:val="22"/>
        </w:rPr>
        <w:t xml:space="preserve">Russell Vorpagel </w:t>
      </w:r>
      <w:r w:rsidR="00EB48A7" w:rsidRPr="00EB48A7">
        <w:rPr>
          <w:szCs w:val="22"/>
        </w:rPr>
        <w:t>exemplifies</w:t>
      </w:r>
      <w:r w:rsidRPr="00EB48A7">
        <w:rPr>
          <w:szCs w:val="22"/>
        </w:rPr>
        <w:t xml:space="preserve"> excellence in the field of engineering and after over 40 years in the Power industry he will be retiring soon.  In his honour, </w:t>
      </w:r>
      <w:r w:rsidR="0017339B" w:rsidRPr="00EB48A7">
        <w:rPr>
          <w:szCs w:val="22"/>
        </w:rPr>
        <w:t xml:space="preserve">Stanwell Corporation is offering 2 x $10,000 engineering scholarship opportunities for students from </w:t>
      </w:r>
      <w:r w:rsidRPr="00EB48A7">
        <w:rPr>
          <w:szCs w:val="22"/>
        </w:rPr>
        <w:t>the</w:t>
      </w:r>
      <w:r w:rsidR="0017339B" w:rsidRPr="00EB48A7">
        <w:rPr>
          <w:szCs w:val="22"/>
        </w:rPr>
        <w:t xml:space="preserve"> local regional community around Tarong Power Stations.</w:t>
      </w:r>
    </w:p>
    <w:p w14:paraId="5FA0D535" w14:textId="77777777" w:rsidR="0017339B" w:rsidRPr="00EB48A7" w:rsidRDefault="0017339B" w:rsidP="00EB48A7">
      <w:pPr>
        <w:tabs>
          <w:tab w:val="left" w:pos="1926"/>
        </w:tabs>
        <w:jc w:val="both"/>
        <w:rPr>
          <w:szCs w:val="22"/>
        </w:rPr>
      </w:pPr>
    </w:p>
    <w:p w14:paraId="60C00A19" w14:textId="0020083E" w:rsidR="0017339B" w:rsidRPr="00EB48A7" w:rsidRDefault="00FD36DE" w:rsidP="00EB48A7">
      <w:pPr>
        <w:tabs>
          <w:tab w:val="left" w:pos="1926"/>
        </w:tabs>
        <w:jc w:val="both"/>
        <w:rPr>
          <w:szCs w:val="22"/>
        </w:rPr>
      </w:pPr>
      <w:r w:rsidRPr="00EB48A7">
        <w:rPr>
          <w:szCs w:val="22"/>
        </w:rPr>
        <w:t xml:space="preserve">We understand the hardships </w:t>
      </w:r>
      <w:r w:rsidR="00EB48A7" w:rsidRPr="00EB48A7">
        <w:rPr>
          <w:szCs w:val="22"/>
        </w:rPr>
        <w:t>faced by students in local regional communities to attend university.</w:t>
      </w:r>
      <w:r w:rsidR="00EB48A7">
        <w:rPr>
          <w:szCs w:val="22"/>
        </w:rPr>
        <w:t xml:space="preserve"> </w:t>
      </w:r>
      <w:r w:rsidR="0017339B" w:rsidRPr="00EB48A7">
        <w:rPr>
          <w:szCs w:val="22"/>
        </w:rPr>
        <w:t>The</w:t>
      </w:r>
      <w:r w:rsidR="00EB48A7" w:rsidRPr="00EB48A7">
        <w:rPr>
          <w:szCs w:val="22"/>
        </w:rPr>
        <w:t>se</w:t>
      </w:r>
      <w:r w:rsidR="0017339B" w:rsidRPr="00EB48A7">
        <w:rPr>
          <w:szCs w:val="22"/>
        </w:rPr>
        <w:t xml:space="preserve"> scholarships are for one Mechanical and one Electrical Engineering student to assist with </w:t>
      </w:r>
      <w:r w:rsidR="00EB48A7" w:rsidRPr="00EB48A7">
        <w:rPr>
          <w:szCs w:val="22"/>
        </w:rPr>
        <w:t xml:space="preserve">this struggle of </w:t>
      </w:r>
      <w:r w:rsidR="0017339B" w:rsidRPr="00EB48A7">
        <w:rPr>
          <w:szCs w:val="22"/>
        </w:rPr>
        <w:t>living and studying away from the region</w:t>
      </w:r>
      <w:r w:rsidR="00EB48A7" w:rsidRPr="00EB48A7">
        <w:rPr>
          <w:szCs w:val="22"/>
        </w:rPr>
        <w:t xml:space="preserve">. </w:t>
      </w:r>
      <w:r w:rsidR="0017339B" w:rsidRPr="00EB48A7">
        <w:rPr>
          <w:szCs w:val="22"/>
        </w:rPr>
        <w:t>The scholarships on offer are for $10,000 per year of study up to 4 years.</w:t>
      </w:r>
    </w:p>
    <w:p w14:paraId="69801918" w14:textId="37E2D52D" w:rsidR="0017339B" w:rsidRPr="00EB48A7" w:rsidRDefault="0017339B" w:rsidP="00EB48A7">
      <w:pPr>
        <w:tabs>
          <w:tab w:val="left" w:pos="1926"/>
        </w:tabs>
        <w:jc w:val="both"/>
        <w:rPr>
          <w:szCs w:val="22"/>
        </w:rPr>
      </w:pPr>
    </w:p>
    <w:p w14:paraId="725210A0" w14:textId="212281B2" w:rsidR="0017339B" w:rsidRPr="00EB48A7" w:rsidRDefault="00FD36DE" w:rsidP="00EB48A7">
      <w:pPr>
        <w:tabs>
          <w:tab w:val="left" w:pos="1926"/>
        </w:tabs>
        <w:jc w:val="both"/>
        <w:rPr>
          <w:b/>
          <w:bCs/>
          <w:szCs w:val="22"/>
        </w:rPr>
      </w:pPr>
      <w:r w:rsidRPr="00EB48A7">
        <w:rPr>
          <w:b/>
          <w:bCs/>
          <w:szCs w:val="22"/>
        </w:rPr>
        <w:t>The</w:t>
      </w:r>
      <w:r w:rsidR="0017339B" w:rsidRPr="00EB48A7">
        <w:rPr>
          <w:b/>
          <w:bCs/>
          <w:szCs w:val="22"/>
        </w:rPr>
        <w:t xml:space="preserve"> scholarship program include</w:t>
      </w:r>
      <w:r w:rsidRPr="00EB48A7">
        <w:rPr>
          <w:b/>
          <w:bCs/>
          <w:szCs w:val="22"/>
        </w:rPr>
        <w:t>s</w:t>
      </w:r>
      <w:r w:rsidR="0017339B" w:rsidRPr="00EB48A7">
        <w:rPr>
          <w:b/>
          <w:bCs/>
          <w:szCs w:val="22"/>
        </w:rPr>
        <w:t>:</w:t>
      </w:r>
    </w:p>
    <w:p w14:paraId="11E806B8" w14:textId="17CF12C7" w:rsidR="00FD36DE" w:rsidRPr="00EB48A7" w:rsidRDefault="00FD36DE" w:rsidP="00EB48A7">
      <w:pPr>
        <w:pStyle w:val="ListParagraph"/>
        <w:numPr>
          <w:ilvl w:val="0"/>
          <w:numId w:val="7"/>
        </w:numPr>
        <w:tabs>
          <w:tab w:val="left" w:pos="1926"/>
        </w:tabs>
        <w:jc w:val="both"/>
        <w:rPr>
          <w:szCs w:val="22"/>
        </w:rPr>
      </w:pPr>
      <w:r w:rsidRPr="00EB48A7">
        <w:rPr>
          <w:szCs w:val="22"/>
        </w:rPr>
        <w:t>$10,000 per annum (paid in 2 x $5,000 payments) for up to 4 years</w:t>
      </w:r>
    </w:p>
    <w:p w14:paraId="48F4CD58" w14:textId="03526CC5" w:rsidR="00FD36DE" w:rsidRPr="00EB48A7" w:rsidRDefault="00FD36DE" w:rsidP="00EB48A7">
      <w:pPr>
        <w:pStyle w:val="ListParagraph"/>
        <w:numPr>
          <w:ilvl w:val="0"/>
          <w:numId w:val="7"/>
        </w:numPr>
        <w:tabs>
          <w:tab w:val="left" w:pos="1926"/>
        </w:tabs>
        <w:jc w:val="both"/>
        <w:rPr>
          <w:szCs w:val="22"/>
        </w:rPr>
      </w:pPr>
      <w:r w:rsidRPr="00EB48A7">
        <w:rPr>
          <w:szCs w:val="22"/>
        </w:rPr>
        <w:t>A mentoring program</w:t>
      </w:r>
    </w:p>
    <w:p w14:paraId="45C14A84" w14:textId="25293C3B" w:rsidR="00FD36DE" w:rsidRPr="00EB48A7" w:rsidRDefault="00FD36DE" w:rsidP="00EB48A7">
      <w:pPr>
        <w:pStyle w:val="ListParagraph"/>
        <w:numPr>
          <w:ilvl w:val="0"/>
          <w:numId w:val="7"/>
        </w:numPr>
        <w:tabs>
          <w:tab w:val="left" w:pos="1926"/>
        </w:tabs>
        <w:jc w:val="both"/>
        <w:rPr>
          <w:szCs w:val="22"/>
        </w:rPr>
      </w:pPr>
      <w:r w:rsidRPr="00EB48A7">
        <w:rPr>
          <w:szCs w:val="22"/>
        </w:rPr>
        <w:t>Vacation work opportunities</w:t>
      </w:r>
    </w:p>
    <w:p w14:paraId="0A1658B2" w14:textId="6C73E4B0" w:rsidR="00FD36DE" w:rsidRPr="00EB48A7" w:rsidRDefault="00FD36DE" w:rsidP="00EB48A7">
      <w:pPr>
        <w:pStyle w:val="ListParagraph"/>
        <w:numPr>
          <w:ilvl w:val="0"/>
          <w:numId w:val="7"/>
        </w:numPr>
        <w:tabs>
          <w:tab w:val="left" w:pos="1926"/>
        </w:tabs>
        <w:jc w:val="both"/>
        <w:rPr>
          <w:szCs w:val="22"/>
        </w:rPr>
      </w:pPr>
      <w:r w:rsidRPr="00EB48A7">
        <w:rPr>
          <w:szCs w:val="22"/>
        </w:rPr>
        <w:t>Possible direct appointment into the Stanwell Corporation Graduate program at the end of your study</w:t>
      </w:r>
    </w:p>
    <w:p w14:paraId="0BE4E996" w14:textId="77777777" w:rsidR="0017339B" w:rsidRPr="00EB48A7" w:rsidRDefault="0017339B" w:rsidP="00EB48A7">
      <w:pPr>
        <w:tabs>
          <w:tab w:val="left" w:pos="1926"/>
        </w:tabs>
        <w:jc w:val="both"/>
        <w:rPr>
          <w:szCs w:val="22"/>
        </w:rPr>
      </w:pPr>
    </w:p>
    <w:p w14:paraId="6F85A1A6" w14:textId="77777777" w:rsidR="0017339B" w:rsidRPr="00EB48A7" w:rsidRDefault="0017339B" w:rsidP="00EB48A7">
      <w:pPr>
        <w:tabs>
          <w:tab w:val="left" w:pos="1926"/>
        </w:tabs>
        <w:jc w:val="both"/>
        <w:rPr>
          <w:rFonts w:cs="Arial"/>
          <w:b/>
          <w:szCs w:val="22"/>
        </w:rPr>
      </w:pPr>
      <w:r w:rsidRPr="00EB48A7">
        <w:rPr>
          <w:rFonts w:cs="Arial"/>
          <w:b/>
          <w:szCs w:val="22"/>
        </w:rPr>
        <w:t>Eligibility and Selection Criteria</w:t>
      </w:r>
    </w:p>
    <w:p w14:paraId="251C18E6" w14:textId="77777777" w:rsidR="00407904" w:rsidRDefault="0017339B" w:rsidP="00EB48A7">
      <w:pPr>
        <w:numPr>
          <w:ilvl w:val="1"/>
          <w:numId w:val="5"/>
        </w:numPr>
        <w:jc w:val="both"/>
        <w:rPr>
          <w:rFonts w:cs="Arial"/>
          <w:szCs w:val="22"/>
        </w:rPr>
      </w:pPr>
      <w:r w:rsidRPr="00EB48A7">
        <w:rPr>
          <w:rFonts w:cs="Arial"/>
          <w:szCs w:val="22"/>
        </w:rPr>
        <w:t>Proof of enrolment into either</w:t>
      </w:r>
      <w:r w:rsidR="00407904">
        <w:rPr>
          <w:rFonts w:cs="Arial"/>
          <w:szCs w:val="22"/>
        </w:rPr>
        <w:t>:</w:t>
      </w:r>
    </w:p>
    <w:p w14:paraId="2331FDDB" w14:textId="6296514C" w:rsidR="00407904" w:rsidRDefault="00407904" w:rsidP="00407904">
      <w:pPr>
        <w:numPr>
          <w:ilvl w:val="2"/>
          <w:numId w:val="5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Bachelor</w:t>
      </w:r>
      <w:r w:rsidRPr="00EB48A7">
        <w:rPr>
          <w:rFonts w:cs="Arial"/>
          <w:szCs w:val="22"/>
        </w:rPr>
        <w:t xml:space="preserve"> of Mechanical Engineering</w:t>
      </w:r>
      <w:r>
        <w:rPr>
          <w:rFonts w:cs="Arial"/>
          <w:szCs w:val="22"/>
        </w:rPr>
        <w:t>; or</w:t>
      </w:r>
    </w:p>
    <w:p w14:paraId="74974394" w14:textId="73FBF40D" w:rsidR="0017339B" w:rsidRPr="00EB48A7" w:rsidRDefault="00407904" w:rsidP="00497953">
      <w:pPr>
        <w:numPr>
          <w:ilvl w:val="2"/>
          <w:numId w:val="5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Bachelor</w:t>
      </w:r>
      <w:r w:rsidRPr="00EB48A7">
        <w:rPr>
          <w:rFonts w:cs="Arial"/>
          <w:szCs w:val="22"/>
        </w:rPr>
        <w:t xml:space="preserve"> of </w:t>
      </w:r>
      <w:r w:rsidR="0017339B" w:rsidRPr="00EB48A7">
        <w:rPr>
          <w:rFonts w:cs="Arial"/>
          <w:szCs w:val="22"/>
        </w:rPr>
        <w:t>Electrical or Instrumentation</w:t>
      </w:r>
      <w:r w:rsidRPr="00407904">
        <w:rPr>
          <w:rFonts w:cs="Arial"/>
          <w:szCs w:val="22"/>
        </w:rPr>
        <w:t xml:space="preserve"> </w:t>
      </w:r>
      <w:r w:rsidRPr="00EB48A7">
        <w:rPr>
          <w:rFonts w:cs="Arial"/>
          <w:szCs w:val="22"/>
        </w:rPr>
        <w:t>Engineering</w:t>
      </w:r>
    </w:p>
    <w:p w14:paraId="6A0882B8" w14:textId="77777777" w:rsidR="0017339B" w:rsidRPr="00EB48A7" w:rsidRDefault="0017339B" w:rsidP="00EB48A7">
      <w:pPr>
        <w:tabs>
          <w:tab w:val="left" w:pos="1926"/>
        </w:tabs>
        <w:jc w:val="both"/>
        <w:rPr>
          <w:rFonts w:cs="Arial"/>
          <w:b/>
          <w:szCs w:val="22"/>
        </w:rPr>
      </w:pPr>
    </w:p>
    <w:p w14:paraId="2C1A3A3D" w14:textId="77777777" w:rsidR="0017339B" w:rsidRPr="00EB48A7" w:rsidRDefault="0017339B" w:rsidP="00EB48A7">
      <w:pPr>
        <w:tabs>
          <w:tab w:val="left" w:pos="1926"/>
        </w:tabs>
        <w:jc w:val="both"/>
        <w:rPr>
          <w:rFonts w:cs="Arial"/>
          <w:b/>
          <w:szCs w:val="22"/>
        </w:rPr>
      </w:pPr>
      <w:r w:rsidRPr="00EB48A7">
        <w:rPr>
          <w:rFonts w:cs="Arial"/>
          <w:b/>
          <w:szCs w:val="22"/>
        </w:rPr>
        <w:t>Conditions</w:t>
      </w:r>
    </w:p>
    <w:p w14:paraId="5A1DADAC" w14:textId="77777777" w:rsidR="00FD36DE" w:rsidRPr="00EB48A7" w:rsidRDefault="00FD36DE" w:rsidP="00EB48A7">
      <w:pPr>
        <w:numPr>
          <w:ilvl w:val="1"/>
          <w:numId w:val="3"/>
        </w:numPr>
        <w:jc w:val="both"/>
        <w:rPr>
          <w:rFonts w:cs="Arial"/>
          <w:szCs w:val="22"/>
        </w:rPr>
      </w:pPr>
      <w:r w:rsidRPr="00EB48A7">
        <w:rPr>
          <w:rFonts w:cs="Arial"/>
          <w:szCs w:val="22"/>
        </w:rPr>
        <w:t>Reside in the local community around Tarong Power Stations.</w:t>
      </w:r>
    </w:p>
    <w:p w14:paraId="05390EF4" w14:textId="28F1AA44" w:rsidR="0017339B" w:rsidRPr="00EB48A7" w:rsidRDefault="0017339B" w:rsidP="00EB48A7">
      <w:pPr>
        <w:numPr>
          <w:ilvl w:val="1"/>
          <w:numId w:val="3"/>
        </w:numPr>
        <w:jc w:val="both"/>
        <w:rPr>
          <w:rFonts w:cs="Arial"/>
          <w:szCs w:val="22"/>
        </w:rPr>
      </w:pPr>
      <w:r w:rsidRPr="00EB48A7">
        <w:rPr>
          <w:rFonts w:cs="Arial"/>
          <w:szCs w:val="22"/>
        </w:rPr>
        <w:t>Each recipient will have satisfied the eligibility criteria for selection.</w:t>
      </w:r>
    </w:p>
    <w:p w14:paraId="78FF637B" w14:textId="77777777" w:rsidR="0017339B" w:rsidRPr="00EB48A7" w:rsidRDefault="0017339B" w:rsidP="00EB48A7">
      <w:pPr>
        <w:numPr>
          <w:ilvl w:val="1"/>
          <w:numId w:val="3"/>
        </w:numPr>
        <w:jc w:val="both"/>
        <w:rPr>
          <w:rFonts w:cs="Arial"/>
          <w:szCs w:val="22"/>
        </w:rPr>
      </w:pPr>
      <w:r w:rsidRPr="00EB48A7">
        <w:rPr>
          <w:rFonts w:cs="Arial"/>
          <w:szCs w:val="22"/>
        </w:rPr>
        <w:t>The scholarship is not transferable to another field of study.</w:t>
      </w:r>
    </w:p>
    <w:p w14:paraId="78985267" w14:textId="77777777" w:rsidR="0017339B" w:rsidRPr="00EB48A7" w:rsidRDefault="0017339B" w:rsidP="00EB48A7">
      <w:pPr>
        <w:numPr>
          <w:ilvl w:val="1"/>
          <w:numId w:val="3"/>
        </w:numPr>
        <w:jc w:val="both"/>
        <w:rPr>
          <w:rFonts w:cs="Arial"/>
          <w:szCs w:val="22"/>
        </w:rPr>
      </w:pPr>
      <w:r w:rsidRPr="00EB48A7">
        <w:rPr>
          <w:rFonts w:cs="Arial"/>
          <w:szCs w:val="22"/>
        </w:rPr>
        <w:t>The recipient of the scholarship is to use their best endeavour to complete the program of study.</w:t>
      </w:r>
    </w:p>
    <w:p w14:paraId="069E28D7" w14:textId="77777777" w:rsidR="0017339B" w:rsidRPr="00EB48A7" w:rsidRDefault="0017339B" w:rsidP="00EB48A7">
      <w:pPr>
        <w:numPr>
          <w:ilvl w:val="1"/>
          <w:numId w:val="3"/>
        </w:numPr>
        <w:jc w:val="both"/>
        <w:rPr>
          <w:rFonts w:cs="Arial"/>
          <w:szCs w:val="22"/>
        </w:rPr>
      </w:pPr>
      <w:r w:rsidRPr="00EB48A7">
        <w:rPr>
          <w:rFonts w:cs="Arial"/>
          <w:szCs w:val="22"/>
        </w:rPr>
        <w:t xml:space="preserve">The recipient is eligible to complete placement at Stanwell Corporation where the opportunity arises. The management of these placements are in line with this University Placement Procedure. </w:t>
      </w:r>
    </w:p>
    <w:p w14:paraId="7C917779" w14:textId="77777777" w:rsidR="0017339B" w:rsidRPr="00EB48A7" w:rsidRDefault="0017339B" w:rsidP="00EB48A7">
      <w:pPr>
        <w:numPr>
          <w:ilvl w:val="1"/>
          <w:numId w:val="3"/>
        </w:numPr>
        <w:jc w:val="both"/>
        <w:rPr>
          <w:rFonts w:cs="Arial"/>
          <w:szCs w:val="22"/>
        </w:rPr>
      </w:pPr>
      <w:r w:rsidRPr="00EB48A7">
        <w:rPr>
          <w:rFonts w:cs="Arial"/>
          <w:szCs w:val="22"/>
        </w:rPr>
        <w:t xml:space="preserve">The recipient will be required to submit a copy of their academic transcript at the end of each academic semester to the relevant manager. </w:t>
      </w:r>
    </w:p>
    <w:p w14:paraId="73A16613" w14:textId="77777777" w:rsidR="0017339B" w:rsidRPr="00EB48A7" w:rsidRDefault="0017339B" w:rsidP="00EB48A7">
      <w:pPr>
        <w:numPr>
          <w:ilvl w:val="1"/>
          <w:numId w:val="3"/>
        </w:numPr>
        <w:jc w:val="both"/>
        <w:rPr>
          <w:rFonts w:cs="Arial"/>
          <w:szCs w:val="22"/>
        </w:rPr>
      </w:pPr>
      <w:r w:rsidRPr="00EB48A7">
        <w:rPr>
          <w:rFonts w:cs="Arial"/>
          <w:szCs w:val="22"/>
        </w:rPr>
        <w:t>The recipient must give at least one month’s notice to Stanwell Corporation on:</w:t>
      </w:r>
    </w:p>
    <w:p w14:paraId="11D5D054" w14:textId="77777777" w:rsidR="0017339B" w:rsidRPr="00EB48A7" w:rsidRDefault="0017339B" w:rsidP="00EB48A7">
      <w:pPr>
        <w:numPr>
          <w:ilvl w:val="0"/>
          <w:numId w:val="6"/>
        </w:numPr>
        <w:jc w:val="both"/>
        <w:rPr>
          <w:rFonts w:cs="Arial"/>
          <w:szCs w:val="22"/>
        </w:rPr>
      </w:pPr>
      <w:r w:rsidRPr="00EB48A7">
        <w:rPr>
          <w:rFonts w:cs="Arial"/>
          <w:szCs w:val="22"/>
        </w:rPr>
        <w:t>Cancellation of enrolment</w:t>
      </w:r>
    </w:p>
    <w:p w14:paraId="52A5EFDF" w14:textId="77777777" w:rsidR="0017339B" w:rsidRDefault="0017339B" w:rsidP="00EB48A7">
      <w:pPr>
        <w:numPr>
          <w:ilvl w:val="0"/>
          <w:numId w:val="6"/>
        </w:numPr>
        <w:jc w:val="both"/>
        <w:rPr>
          <w:rFonts w:cs="Arial"/>
          <w:szCs w:val="22"/>
        </w:rPr>
      </w:pPr>
      <w:r w:rsidRPr="00EB48A7">
        <w:rPr>
          <w:rFonts w:cs="Arial"/>
          <w:szCs w:val="22"/>
        </w:rPr>
        <w:t>Any occurrence of a nature which may bring Stanwell Corporation or the scholarship into disrepute.</w:t>
      </w:r>
    </w:p>
    <w:p w14:paraId="55E9DA4D" w14:textId="70D38B01" w:rsidR="000E5274" w:rsidRPr="00EB48A7" w:rsidRDefault="000E5274" w:rsidP="00497953">
      <w:pPr>
        <w:numPr>
          <w:ilvl w:val="1"/>
          <w:numId w:val="3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The recipient may be required to attend Stanwell Corporate events where relevant.</w:t>
      </w:r>
    </w:p>
    <w:p w14:paraId="42F0112F" w14:textId="77777777" w:rsidR="0017339B" w:rsidRPr="00EB48A7" w:rsidRDefault="0017339B" w:rsidP="00EB48A7">
      <w:pPr>
        <w:tabs>
          <w:tab w:val="left" w:pos="1926"/>
        </w:tabs>
        <w:jc w:val="both"/>
        <w:rPr>
          <w:szCs w:val="22"/>
        </w:rPr>
      </w:pPr>
    </w:p>
    <w:p w14:paraId="0ED00361" w14:textId="77777777" w:rsidR="0017339B" w:rsidRPr="00EB48A7" w:rsidRDefault="0017339B" w:rsidP="00EB48A7">
      <w:pPr>
        <w:jc w:val="both"/>
        <w:rPr>
          <w:rFonts w:cs="Arial"/>
          <w:b/>
          <w:szCs w:val="22"/>
        </w:rPr>
      </w:pPr>
      <w:r w:rsidRPr="00EB48A7">
        <w:rPr>
          <w:rFonts w:cs="Arial"/>
          <w:b/>
          <w:szCs w:val="22"/>
        </w:rPr>
        <w:t xml:space="preserve">Termination </w:t>
      </w:r>
    </w:p>
    <w:p w14:paraId="5D1E68C4" w14:textId="77777777" w:rsidR="0017339B" w:rsidRPr="00EB48A7" w:rsidRDefault="0017339B" w:rsidP="00EB48A7">
      <w:pPr>
        <w:numPr>
          <w:ilvl w:val="1"/>
          <w:numId w:val="3"/>
        </w:numPr>
        <w:jc w:val="both"/>
        <w:rPr>
          <w:rFonts w:cs="Arial"/>
          <w:szCs w:val="22"/>
        </w:rPr>
      </w:pPr>
      <w:r w:rsidRPr="00EB48A7">
        <w:rPr>
          <w:rFonts w:cs="Arial"/>
          <w:szCs w:val="22"/>
        </w:rPr>
        <w:t>Stanwell Corporation has discretion to terminate a scholarship and to recover payment in the event of any of the following:</w:t>
      </w:r>
    </w:p>
    <w:p w14:paraId="72A620CF" w14:textId="77777777" w:rsidR="0017339B" w:rsidRPr="00EB48A7" w:rsidRDefault="0017339B" w:rsidP="00EB48A7">
      <w:pPr>
        <w:numPr>
          <w:ilvl w:val="2"/>
          <w:numId w:val="3"/>
        </w:numPr>
        <w:ind w:left="1418" w:hanging="567"/>
        <w:jc w:val="both"/>
        <w:rPr>
          <w:rFonts w:cs="Arial"/>
          <w:szCs w:val="22"/>
        </w:rPr>
      </w:pPr>
      <w:r w:rsidRPr="00EB48A7">
        <w:rPr>
          <w:rFonts w:cs="Arial"/>
          <w:szCs w:val="22"/>
        </w:rPr>
        <w:t>The conduct and behaviour of the recipient of the scholarship on or off campus is considered by the sponsoring team and P&amp;C team to bring disgrace upon the scholarship, or the Corporation.</w:t>
      </w:r>
    </w:p>
    <w:p w14:paraId="6A459DD5" w14:textId="77777777" w:rsidR="0017339B" w:rsidRPr="00EB48A7" w:rsidRDefault="0017339B" w:rsidP="00EB48A7">
      <w:pPr>
        <w:numPr>
          <w:ilvl w:val="2"/>
          <w:numId w:val="3"/>
        </w:numPr>
        <w:ind w:left="1418" w:hanging="567"/>
        <w:jc w:val="both"/>
        <w:rPr>
          <w:rFonts w:cs="Arial"/>
          <w:szCs w:val="22"/>
        </w:rPr>
      </w:pPr>
      <w:r w:rsidRPr="00EB48A7">
        <w:rPr>
          <w:rFonts w:cs="Arial"/>
          <w:szCs w:val="22"/>
        </w:rPr>
        <w:t>The program of study is being undertaken with insufficient due diligence by the recipient of the scholarship, or not in accordance with the terms of the scholarship.</w:t>
      </w:r>
    </w:p>
    <w:p w14:paraId="0BC4DF4E" w14:textId="62EEE2CF" w:rsidR="0017339B" w:rsidRDefault="0017339B" w:rsidP="00EB48A7">
      <w:pPr>
        <w:numPr>
          <w:ilvl w:val="2"/>
          <w:numId w:val="3"/>
        </w:numPr>
        <w:ind w:left="1418" w:hanging="567"/>
        <w:jc w:val="both"/>
        <w:rPr>
          <w:rFonts w:cs="Arial"/>
          <w:szCs w:val="22"/>
        </w:rPr>
      </w:pPr>
      <w:r w:rsidRPr="00EB48A7">
        <w:rPr>
          <w:rFonts w:cs="Arial"/>
          <w:szCs w:val="22"/>
        </w:rPr>
        <w:t>Cancellation of enrolment.</w:t>
      </w:r>
    </w:p>
    <w:p w14:paraId="38BACE2E" w14:textId="5B347850" w:rsidR="000E5274" w:rsidRPr="00EB48A7" w:rsidRDefault="000E5274" w:rsidP="00EB48A7">
      <w:pPr>
        <w:numPr>
          <w:ilvl w:val="2"/>
          <w:numId w:val="3"/>
        </w:numPr>
        <w:ind w:left="1418" w:hanging="567"/>
        <w:jc w:val="both"/>
        <w:rPr>
          <w:rFonts w:cs="Arial"/>
          <w:szCs w:val="22"/>
        </w:rPr>
      </w:pPr>
      <w:r>
        <w:rPr>
          <w:rFonts w:cs="Arial"/>
          <w:szCs w:val="22"/>
        </w:rPr>
        <w:t>Changes to fields of study.</w:t>
      </w:r>
    </w:p>
    <w:p w14:paraId="1AB76E88" w14:textId="3127C589" w:rsidR="0017339B" w:rsidRPr="00EB48A7" w:rsidRDefault="000E5274" w:rsidP="00EB48A7">
      <w:pPr>
        <w:numPr>
          <w:ilvl w:val="2"/>
          <w:numId w:val="3"/>
        </w:numPr>
        <w:ind w:left="1418" w:hanging="567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>Deferral</w:t>
      </w:r>
      <w:r w:rsidR="0017339B" w:rsidRPr="00EB48A7">
        <w:rPr>
          <w:rFonts w:cs="Arial"/>
          <w:szCs w:val="22"/>
        </w:rPr>
        <w:t xml:space="preserve"> of enrolment. </w:t>
      </w:r>
    </w:p>
    <w:p w14:paraId="0A181DEB" w14:textId="77777777" w:rsidR="0017339B" w:rsidRPr="00EB48A7" w:rsidRDefault="0017339B" w:rsidP="00EB48A7">
      <w:pPr>
        <w:numPr>
          <w:ilvl w:val="1"/>
          <w:numId w:val="3"/>
        </w:numPr>
        <w:jc w:val="both"/>
        <w:rPr>
          <w:rFonts w:cs="Arial"/>
          <w:szCs w:val="22"/>
        </w:rPr>
      </w:pPr>
      <w:r w:rsidRPr="00EB48A7">
        <w:rPr>
          <w:rFonts w:cs="Arial"/>
          <w:szCs w:val="22"/>
        </w:rPr>
        <w:t>In addition to the above the scholarship may be discontinued if the student:</w:t>
      </w:r>
    </w:p>
    <w:p w14:paraId="5A4070EC" w14:textId="77777777" w:rsidR="0017339B" w:rsidRPr="00EB48A7" w:rsidRDefault="0017339B" w:rsidP="00EB48A7">
      <w:pPr>
        <w:numPr>
          <w:ilvl w:val="2"/>
          <w:numId w:val="3"/>
        </w:numPr>
        <w:ind w:left="1418" w:hanging="567"/>
        <w:jc w:val="both"/>
        <w:rPr>
          <w:rFonts w:cs="Arial"/>
          <w:szCs w:val="22"/>
        </w:rPr>
      </w:pPr>
      <w:r w:rsidRPr="00EB48A7">
        <w:rPr>
          <w:rFonts w:cs="Arial"/>
          <w:szCs w:val="22"/>
        </w:rPr>
        <w:t>Fails to maintain a sound standard of academic achievement.</w:t>
      </w:r>
    </w:p>
    <w:p w14:paraId="7539028B" w14:textId="77777777" w:rsidR="0017339B" w:rsidRPr="00EB48A7" w:rsidRDefault="0017339B" w:rsidP="00EB48A7">
      <w:pPr>
        <w:numPr>
          <w:ilvl w:val="2"/>
          <w:numId w:val="3"/>
        </w:numPr>
        <w:ind w:left="1418" w:hanging="567"/>
        <w:jc w:val="both"/>
        <w:rPr>
          <w:rFonts w:cs="Arial"/>
          <w:szCs w:val="22"/>
        </w:rPr>
      </w:pPr>
      <w:r w:rsidRPr="00EB48A7">
        <w:rPr>
          <w:rFonts w:cs="Arial"/>
          <w:szCs w:val="22"/>
        </w:rPr>
        <w:t>Fails to submit progress report and transcript on time.</w:t>
      </w:r>
    </w:p>
    <w:p w14:paraId="27239585" w14:textId="77777777" w:rsidR="0017339B" w:rsidRPr="00EB48A7" w:rsidRDefault="0017339B" w:rsidP="00EB48A7">
      <w:pPr>
        <w:numPr>
          <w:ilvl w:val="2"/>
          <w:numId w:val="3"/>
        </w:numPr>
        <w:ind w:left="1418" w:hanging="567"/>
        <w:jc w:val="both"/>
        <w:rPr>
          <w:rFonts w:cs="Arial"/>
          <w:szCs w:val="22"/>
        </w:rPr>
      </w:pPr>
      <w:r w:rsidRPr="00EB48A7">
        <w:rPr>
          <w:rFonts w:cs="Arial"/>
          <w:szCs w:val="22"/>
        </w:rPr>
        <w:t xml:space="preserve">Fails to demonstrate a continued commitment to Stanwell during their scholarship. </w:t>
      </w:r>
    </w:p>
    <w:p w14:paraId="7832219D" w14:textId="43411B95" w:rsidR="003936BE" w:rsidRPr="00EB48A7" w:rsidRDefault="0017339B" w:rsidP="00EB48A7">
      <w:pPr>
        <w:numPr>
          <w:ilvl w:val="1"/>
          <w:numId w:val="3"/>
        </w:numPr>
        <w:jc w:val="both"/>
        <w:rPr>
          <w:rFonts w:cs="Arial"/>
          <w:szCs w:val="22"/>
        </w:rPr>
      </w:pPr>
      <w:r w:rsidRPr="00EB48A7">
        <w:rPr>
          <w:rFonts w:cs="Arial"/>
          <w:szCs w:val="22"/>
        </w:rPr>
        <w:t xml:space="preserve">In the event that a scholarship is terminated, it is reactivated only in the event that the termination occurred in error. </w:t>
      </w:r>
      <w:bookmarkStart w:id="1" w:name="_Toc66259334"/>
      <w:bookmarkStart w:id="2" w:name="_Toc66259411"/>
      <w:bookmarkStart w:id="3" w:name="_Toc66259335"/>
      <w:bookmarkStart w:id="4" w:name="_Toc66259412"/>
      <w:bookmarkStart w:id="5" w:name="_Toc437868229"/>
      <w:bookmarkStart w:id="6" w:name="_Toc437868358"/>
      <w:bookmarkStart w:id="7" w:name="_Toc439319489"/>
      <w:bookmarkEnd w:id="0"/>
      <w:bookmarkEnd w:id="1"/>
      <w:bookmarkEnd w:id="2"/>
      <w:bookmarkEnd w:id="3"/>
      <w:bookmarkEnd w:id="4"/>
      <w:bookmarkEnd w:id="5"/>
      <w:bookmarkEnd w:id="6"/>
      <w:bookmarkEnd w:id="7"/>
    </w:p>
    <w:sectPr w:rsidR="003936BE" w:rsidRPr="00EB48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A2A33"/>
    <w:multiLevelType w:val="hybridMultilevel"/>
    <w:tmpl w:val="39001CC6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271F7AF9"/>
    <w:multiLevelType w:val="hybridMultilevel"/>
    <w:tmpl w:val="0FACA964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5A00EC"/>
    <w:multiLevelType w:val="hybridMultilevel"/>
    <w:tmpl w:val="35185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23A9E"/>
    <w:multiLevelType w:val="multilevel"/>
    <w:tmpl w:val="B30A1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06A393E"/>
    <w:multiLevelType w:val="multilevel"/>
    <w:tmpl w:val="429E3D62"/>
    <w:lvl w:ilvl="0">
      <w:start w:val="1"/>
      <w:numFmt w:val="decimal"/>
      <w:isLgl/>
      <w:lvlText w:val="%1.0"/>
      <w:lvlJc w:val="left"/>
      <w:pPr>
        <w:tabs>
          <w:tab w:val="num" w:pos="390"/>
        </w:tabs>
        <w:ind w:left="390" w:hanging="390"/>
      </w:pPr>
      <w:rPr>
        <w:rFonts w:hint="default"/>
        <w:sz w:val="28"/>
      </w:rPr>
    </w:lvl>
    <w:lvl w:ilvl="1">
      <w:start w:val="1"/>
      <w:numFmt w:val="decimal"/>
      <w:pStyle w:val="SCL-Heading2"/>
      <w:isLgl/>
      <w:lvlText w:val="%1.%2"/>
      <w:lvlJc w:val="left"/>
      <w:pPr>
        <w:tabs>
          <w:tab w:val="num" w:pos="2734"/>
        </w:tabs>
        <w:ind w:left="273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4CB3A98"/>
    <w:multiLevelType w:val="hybridMultilevel"/>
    <w:tmpl w:val="47CA984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A37BF1"/>
    <w:multiLevelType w:val="multilevel"/>
    <w:tmpl w:val="A8487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69630490">
    <w:abstractNumId w:val="4"/>
  </w:num>
  <w:num w:numId="2" w16cid:durableId="724108740">
    <w:abstractNumId w:val="5"/>
  </w:num>
  <w:num w:numId="3" w16cid:durableId="205992013">
    <w:abstractNumId w:val="3"/>
  </w:num>
  <w:num w:numId="4" w16cid:durableId="1279095315">
    <w:abstractNumId w:val="0"/>
  </w:num>
  <w:num w:numId="5" w16cid:durableId="421683672">
    <w:abstractNumId w:val="6"/>
  </w:num>
  <w:num w:numId="6" w16cid:durableId="655451667">
    <w:abstractNumId w:val="1"/>
  </w:num>
  <w:num w:numId="7" w16cid:durableId="1761828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39B"/>
    <w:rsid w:val="000D311E"/>
    <w:rsid w:val="000E5274"/>
    <w:rsid w:val="0017339B"/>
    <w:rsid w:val="003936BE"/>
    <w:rsid w:val="00407904"/>
    <w:rsid w:val="00471392"/>
    <w:rsid w:val="00497953"/>
    <w:rsid w:val="006873D1"/>
    <w:rsid w:val="00927DC2"/>
    <w:rsid w:val="00A7052A"/>
    <w:rsid w:val="00EB48A7"/>
    <w:rsid w:val="00FD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92ABD"/>
  <w15:chartTrackingRefBased/>
  <w15:docId w15:val="{62748DB7-47B6-4EED-8B2B-F8BE5AF9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39B"/>
    <w:pPr>
      <w:spacing w:after="0" w:line="240" w:lineRule="auto"/>
    </w:pPr>
    <w:rPr>
      <w:rFonts w:ascii="Arial" w:eastAsia="Times New Roman" w:hAnsi="Arial" w:cs="Times New Roman"/>
      <w:kern w:val="0"/>
      <w:sz w:val="22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733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3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3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3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3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3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3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3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3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3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33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3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3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3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3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3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3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33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3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33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3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33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33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33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3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33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339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17339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L-Heading2">
    <w:name w:val="SCL - Heading 2"/>
    <w:basedOn w:val="Heading2"/>
    <w:next w:val="SCL-Heading3"/>
    <w:autoRedefine/>
    <w:rsid w:val="0017339B"/>
    <w:pPr>
      <w:keepLines w:val="0"/>
      <w:numPr>
        <w:ilvl w:val="1"/>
        <w:numId w:val="1"/>
      </w:numPr>
      <w:spacing w:before="240" w:after="60"/>
    </w:pPr>
    <w:rPr>
      <w:rFonts w:ascii="Arial" w:eastAsia="Times New Roman" w:hAnsi="Arial" w:cs="Arial"/>
      <w:b/>
      <w:bCs/>
      <w:iCs/>
      <w:color w:val="auto"/>
      <w:sz w:val="24"/>
      <w:szCs w:val="28"/>
    </w:rPr>
  </w:style>
  <w:style w:type="paragraph" w:customStyle="1" w:styleId="SCL-Heading3">
    <w:name w:val="SCL - Heading 3"/>
    <w:basedOn w:val="Heading3"/>
    <w:rsid w:val="0017339B"/>
    <w:pPr>
      <w:keepLines w:val="0"/>
      <w:spacing w:before="240" w:after="60"/>
    </w:pPr>
    <w:rPr>
      <w:rFonts w:eastAsia="Times New Roman" w:cs="Arial"/>
      <w:b/>
      <w:bCs/>
      <w:color w:val="auto"/>
      <w:sz w:val="26"/>
      <w:szCs w:val="26"/>
    </w:rPr>
  </w:style>
  <w:style w:type="paragraph" w:customStyle="1" w:styleId="SCL-ContentText">
    <w:name w:val="SCL - Content Text"/>
    <w:basedOn w:val="Normal"/>
    <w:rsid w:val="0017339B"/>
    <w:pPr>
      <w:tabs>
        <w:tab w:val="left" w:pos="709"/>
        <w:tab w:val="left" w:pos="6521"/>
        <w:tab w:val="left" w:pos="6804"/>
      </w:tabs>
      <w:ind w:left="709"/>
    </w:pPr>
  </w:style>
  <w:style w:type="paragraph" w:styleId="Revision">
    <w:name w:val="Revision"/>
    <w:hidden/>
    <w:uiPriority w:val="99"/>
    <w:semiHidden/>
    <w:rsid w:val="00407904"/>
    <w:pPr>
      <w:spacing w:after="0" w:line="240" w:lineRule="auto"/>
    </w:pPr>
    <w:rPr>
      <w:rFonts w:ascii="Arial" w:eastAsia="Times New Roman" w:hAnsi="Arial" w:cs="Times New Roman"/>
      <w:kern w:val="0"/>
      <w:sz w:val="22"/>
      <w:lang w:eastAsia="en-AU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E52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52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5274"/>
    <w:rPr>
      <w:rFonts w:ascii="Arial" w:eastAsia="Times New Roman" w:hAnsi="Arial" w:cs="Times New Roman"/>
      <w:kern w:val="0"/>
      <w:sz w:val="20"/>
      <w:szCs w:val="20"/>
      <w:lang w:eastAsia="en-AU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274"/>
    <w:rPr>
      <w:rFonts w:ascii="Arial" w:eastAsia="Times New Roman" w:hAnsi="Arial" w:cs="Times New Roman"/>
      <w:b/>
      <w:bCs/>
      <w:kern w:val="0"/>
      <w:sz w:val="20"/>
      <w:szCs w:val="2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2581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Hobbs, Laura</dc:creator>
  <cp:keywords/>
  <dc:description/>
  <cp:lastModifiedBy>Hobbs, Laura</cp:lastModifiedBy>
  <cp:revision>2</cp:revision>
  <dcterms:created xsi:type="dcterms:W3CDTF">2024-09-02T20:40:00Z</dcterms:created>
  <dcterms:modified xsi:type="dcterms:W3CDTF">2024-09-02T20:40:00Z</dcterms:modified>
</cp:coreProperties>
</file>