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D1718" w14:textId="77777777" w:rsidR="004F064A" w:rsidRDefault="004F064A" w:rsidP="00113FDE">
      <w:pPr>
        <w:pStyle w:val="BodyText"/>
        <w:tabs>
          <w:tab w:val="left" w:pos="1134"/>
        </w:tabs>
        <w:spacing w:before="120"/>
        <w:ind w:right="3"/>
        <w:jc w:val="right"/>
        <w:rPr>
          <w:spacing w:val="-2"/>
          <w:sz w:val="18"/>
          <w:szCs w:val="18"/>
        </w:rPr>
      </w:pPr>
    </w:p>
    <w:p w14:paraId="19DEF76C" w14:textId="77777777" w:rsidR="002236C9" w:rsidRDefault="002236C9" w:rsidP="00113FDE">
      <w:pPr>
        <w:pStyle w:val="BodyText"/>
        <w:tabs>
          <w:tab w:val="left" w:pos="1134"/>
        </w:tabs>
        <w:spacing w:before="120"/>
        <w:ind w:right="3"/>
        <w:jc w:val="right"/>
        <w:rPr>
          <w:spacing w:val="-2"/>
          <w:sz w:val="18"/>
          <w:szCs w:val="18"/>
        </w:rPr>
      </w:pPr>
    </w:p>
    <w:p w14:paraId="648FA81F" w14:textId="77777777" w:rsidR="00C85D0E" w:rsidRDefault="00C85D0E" w:rsidP="00FC6559">
      <w:pPr>
        <w:pStyle w:val="BodyText"/>
        <w:tabs>
          <w:tab w:val="left" w:pos="1134"/>
        </w:tabs>
        <w:ind w:right="3"/>
      </w:pPr>
    </w:p>
    <w:tbl>
      <w:tblPr>
        <w:tblW w:w="0" w:type="auto"/>
        <w:tblLayout w:type="fixed"/>
        <w:tblLook w:val="04A0" w:firstRow="1" w:lastRow="0" w:firstColumn="1" w:lastColumn="0" w:noHBand="0" w:noVBand="1"/>
      </w:tblPr>
      <w:tblGrid>
        <w:gridCol w:w="8175"/>
        <w:gridCol w:w="1635"/>
      </w:tblGrid>
      <w:tr w:rsidR="002215D3" w14:paraId="2100DC65" w14:textId="77777777" w:rsidTr="00F15946">
        <w:trPr>
          <w:trHeight w:val="300"/>
        </w:trPr>
        <w:tc>
          <w:tcPr>
            <w:tcW w:w="8175" w:type="dxa"/>
            <w:tcBorders>
              <w:top w:val="nil"/>
              <w:left w:val="nil"/>
              <w:bottom w:val="nil"/>
              <w:right w:val="nil"/>
            </w:tcBorders>
            <w:tcMar>
              <w:left w:w="108" w:type="dxa"/>
              <w:right w:w="108" w:type="dxa"/>
            </w:tcMar>
          </w:tcPr>
          <w:p w14:paraId="00513503" w14:textId="482D76E3" w:rsidR="002215D3" w:rsidRDefault="002215D3" w:rsidP="00210C37">
            <w:pPr>
              <w:pStyle w:val="Heading1"/>
              <w:ind w:left="0"/>
            </w:pPr>
            <w:r w:rsidRPr="5FCC1823">
              <w:rPr>
                <w:sz w:val="24"/>
                <w:szCs w:val="24"/>
              </w:rPr>
              <w:t xml:space="preserve">Position Profile – </w:t>
            </w:r>
            <w:r w:rsidR="00210C37" w:rsidRPr="00210C37">
              <w:rPr>
                <w:sz w:val="24"/>
                <w:szCs w:val="24"/>
              </w:rPr>
              <w:t>Senior Financial and Sustainability Accountant</w:t>
            </w:r>
          </w:p>
        </w:tc>
        <w:tc>
          <w:tcPr>
            <w:tcW w:w="1635" w:type="dxa"/>
            <w:tcBorders>
              <w:top w:val="nil"/>
              <w:left w:val="nil"/>
              <w:bottom w:val="nil"/>
              <w:right w:val="nil"/>
            </w:tcBorders>
            <w:tcMar>
              <w:left w:w="108" w:type="dxa"/>
              <w:right w:w="108" w:type="dxa"/>
            </w:tcMar>
          </w:tcPr>
          <w:p w14:paraId="466B64A5" w14:textId="77777777" w:rsidR="002215D3" w:rsidRDefault="002215D3" w:rsidP="00F15946">
            <w:pPr>
              <w:pStyle w:val="Heading1"/>
            </w:pPr>
            <w:r w:rsidRPr="5FCC1823">
              <w:rPr>
                <w:sz w:val="16"/>
                <w:szCs w:val="16"/>
              </w:rPr>
              <w:t xml:space="preserve"> </w:t>
            </w:r>
          </w:p>
        </w:tc>
      </w:tr>
    </w:tbl>
    <w:p w14:paraId="3913D75F" w14:textId="77777777" w:rsidR="002215D3" w:rsidRDefault="002215D3" w:rsidP="002215D3">
      <w:pPr>
        <w:jc w:val="both"/>
      </w:pPr>
      <w:r w:rsidRPr="5FCC1823">
        <w:rPr>
          <w:b/>
          <w:bCs/>
          <w:sz w:val="12"/>
          <w:szCs w:val="12"/>
        </w:rPr>
        <w:t xml:space="preserve"> </w:t>
      </w:r>
    </w:p>
    <w:tbl>
      <w:tblPr>
        <w:tblW w:w="0" w:type="auto"/>
        <w:tblInd w:w="105" w:type="dxa"/>
        <w:tblLayout w:type="fixed"/>
        <w:tblLook w:val="01E0" w:firstRow="1" w:lastRow="1" w:firstColumn="1" w:lastColumn="1" w:noHBand="0" w:noVBand="0"/>
      </w:tblPr>
      <w:tblGrid>
        <w:gridCol w:w="2265"/>
        <w:gridCol w:w="2700"/>
        <w:gridCol w:w="2130"/>
        <w:gridCol w:w="2700"/>
      </w:tblGrid>
      <w:tr w:rsidR="002215D3" w14:paraId="24844157" w14:textId="77777777" w:rsidTr="00F15946">
        <w:trPr>
          <w:trHeight w:val="405"/>
        </w:trPr>
        <w:tc>
          <w:tcPr>
            <w:tcW w:w="2265" w:type="dxa"/>
            <w:tcBorders>
              <w:top w:val="single" w:sz="8" w:space="0" w:color="auto"/>
              <w:left w:val="nil"/>
              <w:bottom w:val="nil"/>
              <w:right w:val="nil"/>
            </w:tcBorders>
            <w:shd w:val="clear" w:color="auto" w:fill="E6E6E6"/>
            <w:tcMar>
              <w:left w:w="108" w:type="dxa"/>
              <w:right w:w="108" w:type="dxa"/>
            </w:tcMar>
            <w:vAlign w:val="center"/>
          </w:tcPr>
          <w:p w14:paraId="493A38B2" w14:textId="77777777" w:rsidR="002215D3" w:rsidRDefault="002215D3" w:rsidP="00F15946">
            <w:pPr>
              <w:spacing w:before="60" w:after="60"/>
              <w:jc w:val="both"/>
            </w:pPr>
            <w:r w:rsidRPr="5FCC1823">
              <w:rPr>
                <w:b/>
                <w:bCs/>
                <w:color w:val="000000" w:themeColor="text1"/>
                <w:sz w:val="21"/>
                <w:szCs w:val="21"/>
              </w:rPr>
              <w:t xml:space="preserve">Division             </w:t>
            </w:r>
          </w:p>
        </w:tc>
        <w:tc>
          <w:tcPr>
            <w:tcW w:w="2700" w:type="dxa"/>
            <w:tcBorders>
              <w:top w:val="single" w:sz="8" w:space="0" w:color="auto"/>
              <w:left w:val="nil"/>
              <w:bottom w:val="nil"/>
              <w:right w:val="nil"/>
            </w:tcBorders>
            <w:tcMar>
              <w:left w:w="108" w:type="dxa"/>
              <w:right w:w="108" w:type="dxa"/>
            </w:tcMar>
            <w:vAlign w:val="center"/>
          </w:tcPr>
          <w:p w14:paraId="599DCEB1" w14:textId="77777777" w:rsidR="002215D3" w:rsidRDefault="002215D3" w:rsidP="00F15946">
            <w:pPr>
              <w:spacing w:before="60" w:after="60"/>
              <w:jc w:val="both"/>
            </w:pPr>
            <w:r>
              <w:rPr>
                <w:sz w:val="21"/>
                <w:szCs w:val="21"/>
              </w:rPr>
              <w:t>Finance</w:t>
            </w:r>
          </w:p>
        </w:tc>
        <w:tc>
          <w:tcPr>
            <w:tcW w:w="2130" w:type="dxa"/>
            <w:tcBorders>
              <w:top w:val="single" w:sz="8" w:space="0" w:color="auto"/>
              <w:left w:val="nil"/>
              <w:bottom w:val="nil"/>
              <w:right w:val="nil"/>
            </w:tcBorders>
            <w:shd w:val="clear" w:color="auto" w:fill="D9D9D9" w:themeFill="background1" w:themeFillShade="D9"/>
            <w:tcMar>
              <w:left w:w="108" w:type="dxa"/>
              <w:right w:w="108" w:type="dxa"/>
            </w:tcMar>
            <w:vAlign w:val="center"/>
          </w:tcPr>
          <w:p w14:paraId="160F47D3" w14:textId="77777777" w:rsidR="002215D3" w:rsidRDefault="002215D3" w:rsidP="00F15946">
            <w:pPr>
              <w:spacing w:before="60" w:after="60"/>
            </w:pPr>
            <w:r w:rsidRPr="5FCC1823">
              <w:rPr>
                <w:b/>
                <w:bCs/>
                <w:color w:val="000000" w:themeColor="text1"/>
                <w:sz w:val="21"/>
                <w:szCs w:val="21"/>
              </w:rPr>
              <w:t xml:space="preserve">Team               </w:t>
            </w:r>
            <w:r w:rsidRPr="5FCC1823">
              <w:rPr>
                <w:color w:val="000000" w:themeColor="text1"/>
                <w:sz w:val="21"/>
                <w:szCs w:val="21"/>
              </w:rPr>
              <w:t xml:space="preserve"> </w:t>
            </w:r>
          </w:p>
        </w:tc>
        <w:tc>
          <w:tcPr>
            <w:tcW w:w="2700" w:type="dxa"/>
            <w:tcBorders>
              <w:top w:val="single" w:sz="8" w:space="0" w:color="auto"/>
              <w:left w:val="nil"/>
              <w:bottom w:val="nil"/>
              <w:right w:val="nil"/>
            </w:tcBorders>
            <w:tcMar>
              <w:left w:w="108" w:type="dxa"/>
              <w:right w:w="108" w:type="dxa"/>
            </w:tcMar>
            <w:vAlign w:val="center"/>
          </w:tcPr>
          <w:p w14:paraId="6343363A" w14:textId="77777777" w:rsidR="002215D3" w:rsidRPr="00444D92" w:rsidRDefault="002215D3" w:rsidP="00F15946">
            <w:pPr>
              <w:spacing w:before="60" w:after="60"/>
              <w:jc w:val="both"/>
              <w:rPr>
                <w:sz w:val="20"/>
              </w:rPr>
            </w:pPr>
            <w:r w:rsidRPr="00444D92">
              <w:rPr>
                <w:sz w:val="20"/>
              </w:rPr>
              <w:t>Tax, Treasury and Financial Reporting</w:t>
            </w:r>
          </w:p>
        </w:tc>
      </w:tr>
      <w:tr w:rsidR="002215D3" w14:paraId="6511605C" w14:textId="77777777" w:rsidTr="00F15946">
        <w:trPr>
          <w:trHeight w:val="435"/>
        </w:trPr>
        <w:tc>
          <w:tcPr>
            <w:tcW w:w="2265" w:type="dxa"/>
            <w:tcBorders>
              <w:top w:val="nil"/>
              <w:left w:val="nil"/>
              <w:bottom w:val="nil"/>
              <w:right w:val="nil"/>
            </w:tcBorders>
            <w:shd w:val="clear" w:color="auto" w:fill="E6E6E6"/>
            <w:tcMar>
              <w:left w:w="108" w:type="dxa"/>
              <w:right w:w="108" w:type="dxa"/>
            </w:tcMar>
            <w:vAlign w:val="center"/>
          </w:tcPr>
          <w:p w14:paraId="00CB5A29" w14:textId="77777777" w:rsidR="002215D3" w:rsidRDefault="002215D3" w:rsidP="00F15946">
            <w:pPr>
              <w:spacing w:before="60" w:after="60"/>
              <w:jc w:val="both"/>
            </w:pPr>
            <w:r w:rsidRPr="5FCC1823">
              <w:rPr>
                <w:b/>
                <w:bCs/>
                <w:color w:val="000000" w:themeColor="text1"/>
                <w:sz w:val="21"/>
                <w:szCs w:val="21"/>
              </w:rPr>
              <w:t xml:space="preserve">Location               </w:t>
            </w:r>
            <w:r w:rsidRPr="5FCC1823">
              <w:rPr>
                <w:color w:val="000000" w:themeColor="text1"/>
                <w:sz w:val="21"/>
                <w:szCs w:val="21"/>
              </w:rPr>
              <w:t xml:space="preserve"> </w:t>
            </w:r>
          </w:p>
        </w:tc>
        <w:tc>
          <w:tcPr>
            <w:tcW w:w="2700" w:type="dxa"/>
            <w:tcBorders>
              <w:top w:val="nil"/>
              <w:left w:val="nil"/>
              <w:bottom w:val="nil"/>
              <w:right w:val="nil"/>
            </w:tcBorders>
            <w:tcMar>
              <w:left w:w="108" w:type="dxa"/>
              <w:right w:w="108" w:type="dxa"/>
            </w:tcMar>
            <w:vAlign w:val="center"/>
          </w:tcPr>
          <w:p w14:paraId="144E892D" w14:textId="77777777" w:rsidR="002215D3" w:rsidRDefault="002215D3" w:rsidP="00F15946">
            <w:pPr>
              <w:spacing w:before="60" w:after="60"/>
              <w:jc w:val="both"/>
            </w:pPr>
            <w:r w:rsidRPr="5FCC1823">
              <w:rPr>
                <w:b/>
                <w:bCs/>
                <w:sz w:val="21"/>
                <w:szCs w:val="21"/>
              </w:rPr>
              <w:t>Brisbane</w:t>
            </w:r>
          </w:p>
        </w:tc>
        <w:tc>
          <w:tcPr>
            <w:tcW w:w="2130" w:type="dxa"/>
            <w:tcBorders>
              <w:top w:val="nil"/>
              <w:left w:val="nil"/>
              <w:bottom w:val="nil"/>
              <w:right w:val="nil"/>
            </w:tcBorders>
            <w:shd w:val="clear" w:color="auto" w:fill="D9D9D9" w:themeFill="background1" w:themeFillShade="D9"/>
            <w:tcMar>
              <w:left w:w="108" w:type="dxa"/>
              <w:right w:w="108" w:type="dxa"/>
            </w:tcMar>
            <w:vAlign w:val="center"/>
          </w:tcPr>
          <w:p w14:paraId="23F13242" w14:textId="77777777" w:rsidR="002215D3" w:rsidRDefault="002215D3" w:rsidP="00F15946">
            <w:pPr>
              <w:spacing w:before="60" w:after="60"/>
            </w:pPr>
            <w:r w:rsidRPr="5FCC1823">
              <w:rPr>
                <w:b/>
                <w:bCs/>
                <w:color w:val="000000" w:themeColor="text1"/>
                <w:sz w:val="21"/>
                <w:szCs w:val="21"/>
              </w:rPr>
              <w:t xml:space="preserve">Reports to </w:t>
            </w:r>
          </w:p>
        </w:tc>
        <w:tc>
          <w:tcPr>
            <w:tcW w:w="2700" w:type="dxa"/>
            <w:tcBorders>
              <w:top w:val="nil"/>
              <w:left w:val="nil"/>
              <w:bottom w:val="nil"/>
              <w:right w:val="nil"/>
            </w:tcBorders>
            <w:tcMar>
              <w:left w:w="108" w:type="dxa"/>
              <w:right w:w="108" w:type="dxa"/>
            </w:tcMar>
            <w:vAlign w:val="center"/>
          </w:tcPr>
          <w:p w14:paraId="7721C1B6" w14:textId="77777777" w:rsidR="002215D3" w:rsidRPr="00444D92" w:rsidRDefault="002215D3" w:rsidP="00F15946">
            <w:pPr>
              <w:spacing w:before="60" w:after="60"/>
              <w:rPr>
                <w:sz w:val="20"/>
              </w:rPr>
            </w:pPr>
            <w:r>
              <w:rPr>
                <w:sz w:val="20"/>
              </w:rPr>
              <w:t>Financial Reporting Manager</w:t>
            </w:r>
          </w:p>
        </w:tc>
      </w:tr>
      <w:tr w:rsidR="002215D3" w14:paraId="5EAA38CC" w14:textId="77777777" w:rsidTr="00F15946">
        <w:trPr>
          <w:trHeight w:val="405"/>
        </w:trPr>
        <w:tc>
          <w:tcPr>
            <w:tcW w:w="2265" w:type="dxa"/>
            <w:tcBorders>
              <w:top w:val="nil"/>
              <w:left w:val="nil"/>
              <w:bottom w:val="single" w:sz="8" w:space="0" w:color="auto"/>
              <w:right w:val="nil"/>
            </w:tcBorders>
            <w:shd w:val="clear" w:color="auto" w:fill="E6E6E6"/>
            <w:tcMar>
              <w:left w:w="108" w:type="dxa"/>
              <w:right w:w="108" w:type="dxa"/>
            </w:tcMar>
            <w:vAlign w:val="center"/>
          </w:tcPr>
          <w:p w14:paraId="66AA879B" w14:textId="77777777" w:rsidR="002215D3" w:rsidRDefault="002215D3" w:rsidP="00F15946">
            <w:pPr>
              <w:spacing w:before="60" w:after="60"/>
              <w:jc w:val="both"/>
            </w:pPr>
            <w:r w:rsidRPr="5FCC1823">
              <w:rPr>
                <w:b/>
                <w:bCs/>
                <w:color w:val="000000" w:themeColor="text1"/>
                <w:sz w:val="21"/>
                <w:szCs w:val="21"/>
              </w:rPr>
              <w:t>Date Updated</w:t>
            </w:r>
          </w:p>
        </w:tc>
        <w:tc>
          <w:tcPr>
            <w:tcW w:w="2700" w:type="dxa"/>
            <w:tcBorders>
              <w:top w:val="nil"/>
              <w:left w:val="nil"/>
              <w:bottom w:val="single" w:sz="8" w:space="0" w:color="auto"/>
              <w:right w:val="nil"/>
            </w:tcBorders>
            <w:tcMar>
              <w:left w:w="108" w:type="dxa"/>
              <w:right w:w="108" w:type="dxa"/>
            </w:tcMar>
            <w:vAlign w:val="center"/>
          </w:tcPr>
          <w:p w14:paraId="37212B83" w14:textId="5944A790" w:rsidR="002215D3" w:rsidRDefault="00CD662D" w:rsidP="00F15946">
            <w:pPr>
              <w:spacing w:before="60" w:after="60"/>
              <w:jc w:val="both"/>
            </w:pPr>
            <w:r>
              <w:t>October 2024</w:t>
            </w:r>
          </w:p>
        </w:tc>
        <w:tc>
          <w:tcPr>
            <w:tcW w:w="2130" w:type="dxa"/>
            <w:tcBorders>
              <w:top w:val="nil"/>
              <w:left w:val="nil"/>
              <w:bottom w:val="single" w:sz="8" w:space="0" w:color="auto"/>
              <w:right w:val="nil"/>
            </w:tcBorders>
            <w:shd w:val="clear" w:color="auto" w:fill="D9D9D9" w:themeFill="background1" w:themeFillShade="D9"/>
            <w:tcMar>
              <w:left w:w="108" w:type="dxa"/>
              <w:right w:w="108" w:type="dxa"/>
            </w:tcMar>
            <w:vAlign w:val="center"/>
          </w:tcPr>
          <w:p w14:paraId="0E8F1124" w14:textId="77777777" w:rsidR="002215D3" w:rsidRDefault="002215D3" w:rsidP="00F15946">
            <w:pPr>
              <w:spacing w:before="60" w:after="60"/>
            </w:pPr>
            <w:r w:rsidRPr="5FCC1823">
              <w:rPr>
                <w:b/>
                <w:bCs/>
                <w:color w:val="000000" w:themeColor="text1"/>
                <w:sz w:val="21"/>
                <w:szCs w:val="21"/>
              </w:rPr>
              <w:t>Position Number</w:t>
            </w:r>
          </w:p>
        </w:tc>
        <w:tc>
          <w:tcPr>
            <w:tcW w:w="2700" w:type="dxa"/>
            <w:tcBorders>
              <w:top w:val="nil"/>
              <w:left w:val="nil"/>
              <w:bottom w:val="single" w:sz="8" w:space="0" w:color="auto"/>
              <w:right w:val="nil"/>
            </w:tcBorders>
            <w:tcMar>
              <w:left w:w="108" w:type="dxa"/>
              <w:right w:w="108" w:type="dxa"/>
            </w:tcMar>
            <w:vAlign w:val="center"/>
          </w:tcPr>
          <w:p w14:paraId="21914FAC" w14:textId="36C46D61" w:rsidR="002215D3" w:rsidRDefault="00210C37" w:rsidP="00F15946">
            <w:pPr>
              <w:spacing w:before="60" w:after="60"/>
              <w:jc w:val="both"/>
            </w:pPr>
            <w:r>
              <w:t>414850</w:t>
            </w:r>
          </w:p>
        </w:tc>
      </w:tr>
    </w:tbl>
    <w:p w14:paraId="3E094615" w14:textId="77777777" w:rsidR="002215D3" w:rsidRDefault="002215D3" w:rsidP="002215D3">
      <w:pPr>
        <w:spacing w:line="259" w:lineRule="auto"/>
        <w:rPr>
          <w:rFonts w:asciiTheme="minorBidi" w:hAnsiTheme="minorBidi" w:cstheme="minorBidi"/>
          <w:b/>
          <w:bCs/>
          <w:sz w:val="21"/>
          <w:szCs w:val="21"/>
        </w:rPr>
      </w:pPr>
    </w:p>
    <w:p w14:paraId="4351D69B" w14:textId="25941C2A" w:rsidR="002215D3" w:rsidRPr="002215D3" w:rsidRDefault="002215D3" w:rsidP="002215D3">
      <w:pPr>
        <w:spacing w:line="259" w:lineRule="auto"/>
        <w:rPr>
          <w:rFonts w:asciiTheme="minorBidi" w:hAnsiTheme="minorBidi" w:cstheme="minorBidi"/>
          <w:b/>
          <w:bCs/>
          <w:sz w:val="21"/>
          <w:szCs w:val="21"/>
        </w:rPr>
      </w:pPr>
      <w:r w:rsidRPr="002215D3">
        <w:rPr>
          <w:rFonts w:asciiTheme="minorBidi" w:hAnsiTheme="minorBidi" w:cstheme="minorBidi"/>
          <w:b/>
          <w:bCs/>
          <w:sz w:val="21"/>
          <w:szCs w:val="21"/>
        </w:rPr>
        <w:t>Position Purpose</w:t>
      </w:r>
    </w:p>
    <w:p w14:paraId="35A2D2BF" w14:textId="48A6615E" w:rsidR="002215D3" w:rsidRPr="002215D3" w:rsidRDefault="002215D3" w:rsidP="002215D3">
      <w:pPr>
        <w:spacing w:before="120" w:after="120"/>
        <w:jc w:val="both"/>
        <w:rPr>
          <w:rFonts w:asciiTheme="minorBidi" w:hAnsiTheme="minorBidi" w:cstheme="minorBidi"/>
          <w:sz w:val="21"/>
          <w:szCs w:val="21"/>
        </w:rPr>
      </w:pPr>
      <w:r w:rsidRPr="002215D3">
        <w:rPr>
          <w:rFonts w:asciiTheme="minorBidi" w:hAnsiTheme="minorBidi" w:cstheme="minorBidi"/>
          <w:sz w:val="21"/>
          <w:szCs w:val="21"/>
        </w:rPr>
        <w:t xml:space="preserve">The </w:t>
      </w:r>
      <w:r w:rsidR="00CD662D" w:rsidRPr="00CD662D">
        <w:rPr>
          <w:rFonts w:asciiTheme="minorBidi" w:hAnsiTheme="minorBidi" w:cstheme="minorBidi"/>
          <w:sz w:val="21"/>
          <w:szCs w:val="21"/>
        </w:rPr>
        <w:t>Senior Financial and Sustainability Accountant</w:t>
      </w:r>
      <w:r w:rsidR="00CD662D">
        <w:rPr>
          <w:rFonts w:asciiTheme="minorBidi" w:hAnsiTheme="minorBidi" w:cstheme="minorBidi"/>
          <w:sz w:val="21"/>
          <w:szCs w:val="21"/>
        </w:rPr>
        <w:t xml:space="preserve"> </w:t>
      </w:r>
      <w:r w:rsidRPr="002215D3">
        <w:rPr>
          <w:rFonts w:asciiTheme="minorBidi" w:hAnsiTheme="minorBidi" w:cstheme="minorBidi"/>
          <w:sz w:val="21"/>
          <w:szCs w:val="21"/>
        </w:rPr>
        <w:t xml:space="preserve">is responsible for leading the integration of sustainability reporting within financial reporting, ensuring compliance with sustainability standards, and advising the </w:t>
      </w:r>
      <w:proofErr w:type="spellStart"/>
      <w:r w:rsidRPr="002215D3">
        <w:rPr>
          <w:rFonts w:asciiTheme="minorBidi" w:hAnsiTheme="minorBidi" w:cstheme="minorBidi"/>
          <w:sz w:val="21"/>
          <w:szCs w:val="21"/>
        </w:rPr>
        <w:t>organisation</w:t>
      </w:r>
      <w:proofErr w:type="spellEnd"/>
      <w:r w:rsidRPr="002215D3">
        <w:rPr>
          <w:rFonts w:asciiTheme="minorBidi" w:hAnsiTheme="minorBidi" w:cstheme="minorBidi"/>
          <w:sz w:val="21"/>
          <w:szCs w:val="21"/>
        </w:rPr>
        <w:t xml:space="preserve"> on the financial implications of sustainability initiatives. </w:t>
      </w:r>
    </w:p>
    <w:p w14:paraId="427BCC71" w14:textId="77777777" w:rsidR="002215D3" w:rsidRPr="002215D3" w:rsidRDefault="002215D3" w:rsidP="002215D3">
      <w:pPr>
        <w:spacing w:line="259" w:lineRule="auto"/>
        <w:jc w:val="both"/>
        <w:rPr>
          <w:rFonts w:asciiTheme="minorBidi" w:hAnsiTheme="minorBidi" w:cstheme="minorBidi"/>
          <w:sz w:val="21"/>
          <w:szCs w:val="21"/>
        </w:rPr>
      </w:pPr>
      <w:r w:rsidRPr="002215D3">
        <w:rPr>
          <w:rFonts w:asciiTheme="minorBidi" w:hAnsiTheme="minorBidi" w:cstheme="minorBidi"/>
          <w:sz w:val="21"/>
          <w:szCs w:val="21"/>
        </w:rPr>
        <w:t xml:space="preserve">This role plays a key part in supporting the company’s environmental, social, and governance (ESG) objectives and aligning them with financial performance, driving the </w:t>
      </w:r>
      <w:proofErr w:type="spellStart"/>
      <w:r w:rsidRPr="002215D3">
        <w:rPr>
          <w:rFonts w:asciiTheme="minorBidi" w:hAnsiTheme="minorBidi" w:cstheme="minorBidi"/>
          <w:sz w:val="21"/>
          <w:szCs w:val="21"/>
        </w:rPr>
        <w:t>organisation</w:t>
      </w:r>
      <w:proofErr w:type="spellEnd"/>
      <w:r w:rsidRPr="002215D3">
        <w:rPr>
          <w:rFonts w:asciiTheme="minorBidi" w:hAnsiTheme="minorBidi" w:cstheme="minorBidi"/>
          <w:sz w:val="21"/>
          <w:szCs w:val="21"/>
        </w:rPr>
        <w:t xml:space="preserve"> toward sustainable growth. </w:t>
      </w:r>
    </w:p>
    <w:p w14:paraId="225EE9D6" w14:textId="77777777" w:rsidR="002215D3" w:rsidRPr="002215D3" w:rsidRDefault="002215D3" w:rsidP="002215D3">
      <w:pPr>
        <w:spacing w:line="259" w:lineRule="auto"/>
        <w:jc w:val="both"/>
        <w:rPr>
          <w:rFonts w:asciiTheme="minorBidi" w:hAnsiTheme="minorBidi" w:cstheme="minorBidi"/>
          <w:sz w:val="21"/>
          <w:szCs w:val="21"/>
        </w:rPr>
      </w:pPr>
    </w:p>
    <w:p w14:paraId="2E3D87F7" w14:textId="7C4F6B7C" w:rsidR="002215D3" w:rsidRPr="002215D3" w:rsidRDefault="002215D3" w:rsidP="002215D3">
      <w:pPr>
        <w:spacing w:line="259" w:lineRule="auto"/>
        <w:jc w:val="both"/>
        <w:rPr>
          <w:rFonts w:asciiTheme="minorBidi" w:hAnsiTheme="minorBidi" w:cstheme="minorBidi"/>
          <w:sz w:val="21"/>
          <w:szCs w:val="21"/>
        </w:rPr>
      </w:pPr>
      <w:r w:rsidRPr="002215D3">
        <w:rPr>
          <w:rFonts w:asciiTheme="minorBidi" w:hAnsiTheme="minorBidi" w:cstheme="minorBidi"/>
          <w:sz w:val="21"/>
          <w:szCs w:val="21"/>
        </w:rPr>
        <w:t xml:space="preserve">In addition, the </w:t>
      </w:r>
      <w:r w:rsidR="00CD662D" w:rsidRPr="00CD662D">
        <w:rPr>
          <w:rFonts w:asciiTheme="minorBidi" w:hAnsiTheme="minorBidi" w:cstheme="minorBidi"/>
          <w:sz w:val="21"/>
          <w:szCs w:val="21"/>
        </w:rPr>
        <w:t>Senior Financial and Sustainability Accountant</w:t>
      </w:r>
      <w:r w:rsidR="00CD662D">
        <w:rPr>
          <w:rFonts w:asciiTheme="minorBidi" w:hAnsiTheme="minorBidi" w:cstheme="minorBidi"/>
          <w:sz w:val="21"/>
          <w:szCs w:val="21"/>
        </w:rPr>
        <w:t xml:space="preserve"> </w:t>
      </w:r>
      <w:r w:rsidRPr="002215D3">
        <w:rPr>
          <w:rFonts w:asciiTheme="minorBidi" w:hAnsiTheme="minorBidi" w:cstheme="minorBidi"/>
          <w:sz w:val="21"/>
          <w:szCs w:val="21"/>
        </w:rPr>
        <w:t xml:space="preserve">will play a key role in supporting the company’s growth projects through providing expert advice on complex accounting issues. This role involves ensuring the accurate application of accounting standards and policies for new and ongoing growth initiatives, including mergers and acquisitions (M&amp;A), capital investments, joint ventures and other strategic business developments. </w:t>
      </w:r>
    </w:p>
    <w:p w14:paraId="0995E4AD" w14:textId="77777777" w:rsidR="002215D3" w:rsidRPr="002215D3" w:rsidRDefault="002215D3" w:rsidP="002215D3">
      <w:pPr>
        <w:spacing w:line="259" w:lineRule="auto"/>
        <w:jc w:val="both"/>
        <w:rPr>
          <w:rFonts w:asciiTheme="minorBidi" w:hAnsiTheme="minorBidi" w:cstheme="minorBidi"/>
          <w:sz w:val="21"/>
          <w:szCs w:val="21"/>
        </w:rPr>
      </w:pPr>
    </w:p>
    <w:p w14:paraId="5672816F" w14:textId="77777777" w:rsidR="002215D3" w:rsidRPr="002215D3" w:rsidRDefault="002215D3" w:rsidP="002215D3">
      <w:pPr>
        <w:spacing w:line="259" w:lineRule="auto"/>
        <w:jc w:val="both"/>
        <w:rPr>
          <w:rFonts w:asciiTheme="minorBidi" w:hAnsiTheme="minorBidi" w:cstheme="minorBidi"/>
          <w:sz w:val="21"/>
          <w:szCs w:val="21"/>
        </w:rPr>
      </w:pPr>
      <w:r w:rsidRPr="002215D3">
        <w:rPr>
          <w:rFonts w:asciiTheme="minorBidi" w:hAnsiTheme="minorBidi" w:cstheme="minorBidi"/>
          <w:sz w:val="21"/>
          <w:szCs w:val="21"/>
        </w:rPr>
        <w:t>The successful applicant plays a key supporting role to the Financial Reporting Manager and may be directed to take on team management responsibilities in their absence.</w:t>
      </w:r>
    </w:p>
    <w:p w14:paraId="01DC6F32" w14:textId="77777777" w:rsidR="002215D3" w:rsidRPr="002215D3" w:rsidRDefault="002215D3" w:rsidP="002215D3">
      <w:pPr>
        <w:spacing w:line="259" w:lineRule="auto"/>
        <w:jc w:val="both"/>
        <w:rPr>
          <w:rFonts w:asciiTheme="minorBidi" w:hAnsiTheme="minorBidi" w:cstheme="minorBidi"/>
          <w:b/>
          <w:bCs/>
          <w:sz w:val="21"/>
          <w:szCs w:val="21"/>
        </w:rPr>
      </w:pPr>
    </w:p>
    <w:p w14:paraId="00A28BE9" w14:textId="77777777" w:rsidR="002215D3" w:rsidRPr="002215D3" w:rsidRDefault="002215D3" w:rsidP="002215D3">
      <w:pPr>
        <w:spacing w:line="259" w:lineRule="auto"/>
        <w:rPr>
          <w:rFonts w:asciiTheme="minorBidi" w:hAnsiTheme="minorBidi" w:cstheme="minorBidi"/>
          <w:sz w:val="21"/>
          <w:szCs w:val="21"/>
        </w:rPr>
      </w:pPr>
    </w:p>
    <w:p w14:paraId="76DE2CB4" w14:textId="77777777" w:rsidR="002215D3" w:rsidRPr="002215D3" w:rsidRDefault="002215D3" w:rsidP="002215D3">
      <w:pPr>
        <w:spacing w:line="259" w:lineRule="auto"/>
        <w:rPr>
          <w:rFonts w:asciiTheme="minorBidi" w:hAnsiTheme="minorBidi" w:cstheme="minorBidi"/>
          <w:b/>
          <w:bCs/>
          <w:sz w:val="21"/>
          <w:szCs w:val="21"/>
        </w:rPr>
      </w:pPr>
      <w:r w:rsidRPr="002215D3">
        <w:rPr>
          <w:rFonts w:asciiTheme="minorBidi" w:hAnsiTheme="minorBidi" w:cstheme="minorBidi"/>
          <w:b/>
          <w:bCs/>
          <w:sz w:val="21"/>
          <w:szCs w:val="21"/>
        </w:rPr>
        <w:t xml:space="preserve">Strategic Priorities and Initial Tasks </w:t>
      </w:r>
    </w:p>
    <w:p w14:paraId="4465FC08" w14:textId="77777777" w:rsidR="002215D3" w:rsidRPr="002215D3" w:rsidRDefault="002215D3" w:rsidP="002215D3">
      <w:pPr>
        <w:spacing w:line="259" w:lineRule="auto"/>
        <w:rPr>
          <w:rFonts w:asciiTheme="minorBidi" w:hAnsiTheme="minorBidi" w:cstheme="minorBidi"/>
          <w:b/>
          <w:bCs/>
          <w:sz w:val="21"/>
          <w:szCs w:val="21"/>
        </w:rPr>
      </w:pPr>
    </w:p>
    <w:p w14:paraId="1782954D" w14:textId="77777777" w:rsidR="002215D3" w:rsidRPr="002215D3" w:rsidRDefault="002215D3" w:rsidP="002215D3">
      <w:pPr>
        <w:spacing w:line="259" w:lineRule="auto"/>
        <w:rPr>
          <w:rFonts w:asciiTheme="minorBidi" w:hAnsiTheme="minorBidi" w:cstheme="minorBidi"/>
          <w:sz w:val="21"/>
          <w:szCs w:val="21"/>
        </w:rPr>
      </w:pPr>
      <w:r w:rsidRPr="002215D3">
        <w:rPr>
          <w:rFonts w:asciiTheme="minorBidi" w:hAnsiTheme="minorBidi" w:cstheme="minorBidi"/>
          <w:sz w:val="21"/>
          <w:szCs w:val="21"/>
        </w:rPr>
        <w:t>Work with the Strategy &amp; Sustainability team to progressively assign financial value to Stanwell’s climate change risks and opportunities, to ensure Stanwell Directors’ are fulfilling stakeholder expectations in this area, and that Stanwell is prepared for the incorporation of the ISSB’s latest standards in GOC reporting requirements.</w:t>
      </w:r>
    </w:p>
    <w:p w14:paraId="07A66F03" w14:textId="77777777" w:rsidR="002215D3" w:rsidRPr="002215D3" w:rsidRDefault="002215D3" w:rsidP="002215D3">
      <w:pPr>
        <w:spacing w:line="259" w:lineRule="auto"/>
        <w:rPr>
          <w:rFonts w:asciiTheme="minorBidi" w:hAnsiTheme="minorBidi" w:cstheme="minorBidi"/>
          <w:sz w:val="21"/>
          <w:szCs w:val="21"/>
        </w:rPr>
      </w:pPr>
    </w:p>
    <w:p w14:paraId="16FD76DF" w14:textId="77777777" w:rsidR="002215D3" w:rsidRPr="002215D3" w:rsidRDefault="002215D3" w:rsidP="002215D3">
      <w:pPr>
        <w:spacing w:line="259" w:lineRule="auto"/>
        <w:rPr>
          <w:rFonts w:asciiTheme="minorBidi" w:hAnsiTheme="minorBidi" w:cstheme="minorBidi"/>
          <w:sz w:val="21"/>
          <w:szCs w:val="21"/>
          <w:lang w:val="en-AU"/>
        </w:rPr>
      </w:pPr>
      <w:r w:rsidRPr="002215D3">
        <w:rPr>
          <w:rFonts w:asciiTheme="minorBidi" w:hAnsiTheme="minorBidi" w:cstheme="minorBidi"/>
          <w:sz w:val="21"/>
          <w:szCs w:val="21"/>
        </w:rPr>
        <w:t xml:space="preserve">Support the implementation and maintenance of software solutions for </w:t>
      </w:r>
      <w:r w:rsidRPr="002215D3">
        <w:rPr>
          <w:rFonts w:asciiTheme="minorBidi" w:hAnsiTheme="minorBidi" w:cstheme="minorBidi"/>
          <w:sz w:val="21"/>
          <w:szCs w:val="21"/>
          <w:lang w:val="en-AU"/>
        </w:rPr>
        <w:t>ESG reporting (financial and non-financial) compliance - to best manage data management, calculations, integration with other systems, core user needs and audit expectations - and provide appropriate recommendations to management.</w:t>
      </w:r>
    </w:p>
    <w:p w14:paraId="14C60602" w14:textId="77777777" w:rsidR="002215D3" w:rsidRPr="002215D3" w:rsidRDefault="002215D3" w:rsidP="002215D3">
      <w:pPr>
        <w:spacing w:line="259" w:lineRule="auto"/>
        <w:rPr>
          <w:rFonts w:asciiTheme="minorBidi" w:hAnsiTheme="minorBidi" w:cstheme="minorBidi"/>
          <w:sz w:val="21"/>
          <w:szCs w:val="21"/>
          <w:lang w:val="en-AU"/>
        </w:rPr>
      </w:pPr>
    </w:p>
    <w:p w14:paraId="0BE128A9" w14:textId="77777777" w:rsidR="002215D3" w:rsidRPr="002215D3" w:rsidRDefault="002215D3" w:rsidP="002215D3">
      <w:pPr>
        <w:spacing w:line="259" w:lineRule="auto"/>
        <w:rPr>
          <w:rFonts w:asciiTheme="minorBidi" w:hAnsiTheme="minorBidi" w:cstheme="minorBidi"/>
          <w:sz w:val="21"/>
          <w:szCs w:val="21"/>
          <w:lang w:val="en-AU"/>
        </w:rPr>
      </w:pPr>
      <w:r w:rsidRPr="002215D3">
        <w:rPr>
          <w:rFonts w:asciiTheme="minorBidi" w:hAnsiTheme="minorBidi" w:cstheme="minorBidi"/>
          <w:sz w:val="21"/>
          <w:szCs w:val="21"/>
          <w:lang w:val="en-AU"/>
        </w:rPr>
        <w:t>Proactively develop and support necessary preconditions for ESG assurance in the future (i.e. examine criteria for measures and determine evidence required to support the disclosures).</w:t>
      </w:r>
    </w:p>
    <w:p w14:paraId="57E19C22" w14:textId="77777777" w:rsidR="002215D3" w:rsidRPr="002215D3" w:rsidRDefault="002215D3" w:rsidP="002215D3">
      <w:pPr>
        <w:spacing w:line="259" w:lineRule="auto"/>
        <w:rPr>
          <w:rFonts w:asciiTheme="minorBidi" w:hAnsiTheme="minorBidi" w:cstheme="minorBidi"/>
          <w:sz w:val="21"/>
          <w:szCs w:val="21"/>
          <w:lang w:val="en-AU"/>
        </w:rPr>
      </w:pPr>
    </w:p>
    <w:p w14:paraId="052F9BCC" w14:textId="77777777" w:rsidR="002215D3" w:rsidRPr="002215D3" w:rsidRDefault="002215D3" w:rsidP="002215D3">
      <w:pPr>
        <w:spacing w:line="259" w:lineRule="auto"/>
        <w:rPr>
          <w:rFonts w:asciiTheme="minorBidi" w:hAnsiTheme="minorBidi" w:cstheme="minorBidi"/>
          <w:sz w:val="21"/>
          <w:szCs w:val="21"/>
          <w:lang w:val="en-AU"/>
        </w:rPr>
      </w:pPr>
      <w:r w:rsidRPr="002215D3">
        <w:rPr>
          <w:rFonts w:asciiTheme="minorBidi" w:hAnsiTheme="minorBidi" w:cstheme="minorBidi"/>
          <w:sz w:val="21"/>
          <w:szCs w:val="21"/>
          <w:lang w:val="en-AU"/>
        </w:rPr>
        <w:t>Design, develop and maintain appropriate processes (and controls) to quantitatively assess Stanwell’s strategy to be resilient to a range of climate-related scenarios and transitional risks.</w:t>
      </w:r>
    </w:p>
    <w:p w14:paraId="0E78939D" w14:textId="77777777" w:rsidR="002215D3" w:rsidRPr="002215D3" w:rsidRDefault="002215D3" w:rsidP="002215D3">
      <w:pPr>
        <w:spacing w:line="259" w:lineRule="auto"/>
        <w:rPr>
          <w:rFonts w:asciiTheme="minorBidi" w:hAnsiTheme="minorBidi" w:cstheme="minorBidi"/>
          <w:sz w:val="21"/>
          <w:szCs w:val="21"/>
          <w:lang w:val="en-AU"/>
        </w:rPr>
      </w:pPr>
    </w:p>
    <w:p w14:paraId="42C3B1D8" w14:textId="77777777" w:rsidR="002215D3" w:rsidRPr="002215D3" w:rsidRDefault="002215D3" w:rsidP="002215D3">
      <w:pPr>
        <w:spacing w:line="259" w:lineRule="auto"/>
        <w:rPr>
          <w:rFonts w:asciiTheme="minorBidi" w:hAnsiTheme="minorBidi" w:cstheme="minorBidi"/>
          <w:sz w:val="21"/>
          <w:szCs w:val="21"/>
          <w:lang w:val="en-AU"/>
        </w:rPr>
      </w:pPr>
      <w:r w:rsidRPr="002215D3">
        <w:rPr>
          <w:rFonts w:asciiTheme="minorBidi" w:hAnsiTheme="minorBidi" w:cstheme="minorBidi"/>
          <w:sz w:val="21"/>
          <w:szCs w:val="21"/>
          <w:lang w:val="en-AU"/>
        </w:rPr>
        <w:t xml:space="preserve">Assist the Strategy &amp; Sustainability team to be ‘Reporting Ready’ for Stanwell’s Group 1 sustainability reporting requirements. </w:t>
      </w:r>
    </w:p>
    <w:p w14:paraId="688A9411" w14:textId="77777777" w:rsidR="002215D3" w:rsidRDefault="002215D3" w:rsidP="002215D3">
      <w:pPr>
        <w:spacing w:line="259" w:lineRule="auto"/>
        <w:rPr>
          <w:rFonts w:asciiTheme="minorBidi" w:hAnsiTheme="minorBidi" w:cstheme="minorBidi"/>
          <w:sz w:val="21"/>
          <w:szCs w:val="21"/>
          <w:lang w:val="en-AU"/>
        </w:rPr>
      </w:pPr>
    </w:p>
    <w:p w14:paraId="6205690E" w14:textId="77777777" w:rsidR="00651FD9" w:rsidRPr="002215D3" w:rsidRDefault="00651FD9" w:rsidP="002215D3">
      <w:pPr>
        <w:spacing w:line="259" w:lineRule="auto"/>
        <w:rPr>
          <w:rFonts w:asciiTheme="minorBidi" w:hAnsiTheme="minorBidi" w:cstheme="minorBidi"/>
          <w:sz w:val="21"/>
          <w:szCs w:val="21"/>
          <w:lang w:val="en-AU"/>
        </w:rPr>
      </w:pPr>
    </w:p>
    <w:p w14:paraId="55D6582E" w14:textId="77777777" w:rsidR="002215D3" w:rsidRDefault="002215D3" w:rsidP="002215D3">
      <w:pPr>
        <w:spacing w:before="40"/>
        <w:jc w:val="both"/>
        <w:rPr>
          <w:rFonts w:asciiTheme="minorBidi" w:hAnsiTheme="minorBidi" w:cstheme="minorBidi"/>
          <w:b/>
          <w:bCs/>
          <w:sz w:val="21"/>
          <w:szCs w:val="21"/>
        </w:rPr>
      </w:pPr>
    </w:p>
    <w:p w14:paraId="275F3FE5" w14:textId="1E664E4B" w:rsidR="002215D3" w:rsidRPr="002215D3" w:rsidRDefault="002215D3" w:rsidP="002215D3">
      <w:pPr>
        <w:spacing w:before="40"/>
        <w:jc w:val="both"/>
        <w:rPr>
          <w:rFonts w:asciiTheme="minorBidi" w:hAnsiTheme="minorBidi" w:cstheme="minorBidi"/>
          <w:b/>
          <w:bCs/>
          <w:sz w:val="21"/>
          <w:szCs w:val="21"/>
        </w:rPr>
      </w:pPr>
      <w:r w:rsidRPr="002215D3">
        <w:rPr>
          <w:rFonts w:asciiTheme="minorBidi" w:hAnsiTheme="minorBidi" w:cstheme="minorBidi"/>
          <w:b/>
          <w:bCs/>
          <w:sz w:val="21"/>
          <w:szCs w:val="21"/>
        </w:rPr>
        <w:lastRenderedPageBreak/>
        <w:t xml:space="preserve">Qualifications </w:t>
      </w:r>
    </w:p>
    <w:p w14:paraId="0C23075E"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color w:val="000000" w:themeColor="text1"/>
          <w:sz w:val="21"/>
          <w:szCs w:val="21"/>
        </w:rPr>
      </w:pPr>
      <w:r w:rsidRPr="002215D3">
        <w:rPr>
          <w:rFonts w:asciiTheme="minorBidi" w:hAnsiTheme="minorBidi" w:cstheme="minorBidi"/>
          <w:color w:val="000000" w:themeColor="text1"/>
          <w:sz w:val="21"/>
          <w:szCs w:val="21"/>
        </w:rPr>
        <w:t>Relevant tertiary qualification and membership of a professional association (</w:t>
      </w:r>
      <w:proofErr w:type="spellStart"/>
      <w:r w:rsidRPr="002215D3">
        <w:rPr>
          <w:rFonts w:asciiTheme="minorBidi" w:hAnsiTheme="minorBidi" w:cstheme="minorBidi"/>
          <w:color w:val="000000" w:themeColor="text1"/>
          <w:sz w:val="21"/>
          <w:szCs w:val="21"/>
        </w:rPr>
        <w:t>e.g</w:t>
      </w:r>
      <w:proofErr w:type="spellEnd"/>
      <w:r w:rsidRPr="002215D3">
        <w:rPr>
          <w:rFonts w:asciiTheme="minorBidi" w:hAnsiTheme="minorBidi" w:cstheme="minorBidi"/>
          <w:color w:val="000000" w:themeColor="text1"/>
          <w:sz w:val="21"/>
          <w:szCs w:val="21"/>
        </w:rPr>
        <w:t xml:space="preserve"> CA/CPA)</w:t>
      </w:r>
    </w:p>
    <w:p w14:paraId="36DE4617" w14:textId="77777777" w:rsidR="002215D3" w:rsidRPr="002215D3" w:rsidRDefault="002215D3" w:rsidP="002215D3">
      <w:pPr>
        <w:spacing w:before="40"/>
        <w:jc w:val="both"/>
        <w:rPr>
          <w:rFonts w:asciiTheme="minorBidi" w:hAnsiTheme="minorBidi" w:cstheme="minorBidi"/>
          <w:b/>
          <w:bCs/>
          <w:sz w:val="21"/>
          <w:szCs w:val="21"/>
        </w:rPr>
      </w:pPr>
    </w:p>
    <w:p w14:paraId="0833A8E4" w14:textId="77777777" w:rsidR="002215D3" w:rsidRPr="002215D3" w:rsidRDefault="002215D3" w:rsidP="002215D3">
      <w:pPr>
        <w:spacing w:before="40"/>
        <w:jc w:val="both"/>
        <w:rPr>
          <w:rFonts w:asciiTheme="minorBidi" w:hAnsiTheme="minorBidi" w:cstheme="minorBidi"/>
          <w:sz w:val="21"/>
          <w:szCs w:val="21"/>
        </w:rPr>
      </w:pPr>
      <w:r w:rsidRPr="002215D3">
        <w:rPr>
          <w:rFonts w:asciiTheme="minorBidi" w:hAnsiTheme="minorBidi" w:cstheme="minorBidi"/>
          <w:b/>
          <w:bCs/>
          <w:sz w:val="21"/>
          <w:szCs w:val="21"/>
        </w:rPr>
        <w:t xml:space="preserve">Experience and knowledge </w:t>
      </w:r>
    </w:p>
    <w:p w14:paraId="40E2DFB6" w14:textId="77777777" w:rsidR="002215D3" w:rsidRPr="002215D3" w:rsidRDefault="002215D3" w:rsidP="002215D3">
      <w:pPr>
        <w:numPr>
          <w:ilvl w:val="0"/>
          <w:numId w:val="1"/>
        </w:numPr>
        <w:tabs>
          <w:tab w:val="left" w:pos="2355"/>
        </w:tabs>
        <w:autoSpaceDE/>
        <w:autoSpaceDN/>
        <w:spacing w:before="60"/>
        <w:jc w:val="both"/>
        <w:rPr>
          <w:rFonts w:asciiTheme="minorBidi" w:hAnsiTheme="minorBidi" w:cstheme="minorBidi"/>
          <w:sz w:val="21"/>
          <w:szCs w:val="21"/>
        </w:rPr>
      </w:pPr>
      <w:r w:rsidRPr="002215D3">
        <w:rPr>
          <w:rFonts w:asciiTheme="minorBidi" w:hAnsiTheme="minorBidi" w:cstheme="minorBidi"/>
          <w:sz w:val="21"/>
          <w:szCs w:val="21"/>
        </w:rPr>
        <w:t>Minimum 5-7 years’ experience in a financial accounting role within a complex business environment</w:t>
      </w:r>
    </w:p>
    <w:p w14:paraId="5AAD1B63" w14:textId="77777777" w:rsidR="002215D3" w:rsidRPr="002215D3" w:rsidRDefault="002215D3" w:rsidP="002215D3">
      <w:pPr>
        <w:numPr>
          <w:ilvl w:val="0"/>
          <w:numId w:val="1"/>
        </w:numPr>
        <w:tabs>
          <w:tab w:val="left" w:pos="2355"/>
        </w:tabs>
        <w:autoSpaceDE/>
        <w:autoSpaceDN/>
        <w:spacing w:before="60"/>
        <w:jc w:val="both"/>
        <w:rPr>
          <w:rFonts w:asciiTheme="minorBidi" w:hAnsiTheme="minorBidi" w:cstheme="minorBidi"/>
          <w:sz w:val="21"/>
          <w:szCs w:val="21"/>
        </w:rPr>
      </w:pPr>
      <w:r w:rsidRPr="002215D3">
        <w:rPr>
          <w:rFonts w:asciiTheme="minorBidi" w:hAnsiTheme="minorBidi" w:cstheme="minorBidi"/>
          <w:sz w:val="21"/>
          <w:szCs w:val="21"/>
        </w:rPr>
        <w:t xml:space="preserve">Experience working with sustainability frameworks and the ability to integrate sustainability considerations into financial analysis and reporting is desirable </w:t>
      </w:r>
    </w:p>
    <w:p w14:paraId="3E008FBD" w14:textId="77777777" w:rsidR="002215D3" w:rsidRPr="002215D3" w:rsidRDefault="002215D3" w:rsidP="002215D3">
      <w:pPr>
        <w:numPr>
          <w:ilvl w:val="0"/>
          <w:numId w:val="1"/>
        </w:numPr>
        <w:tabs>
          <w:tab w:val="left" w:pos="2355"/>
        </w:tabs>
        <w:autoSpaceDE/>
        <w:autoSpaceDN/>
        <w:spacing w:before="60"/>
        <w:jc w:val="both"/>
        <w:rPr>
          <w:rFonts w:asciiTheme="minorBidi" w:hAnsiTheme="minorBidi" w:cstheme="minorBidi"/>
          <w:sz w:val="21"/>
          <w:szCs w:val="21"/>
        </w:rPr>
      </w:pPr>
      <w:r w:rsidRPr="002215D3">
        <w:rPr>
          <w:rFonts w:asciiTheme="minorBidi" w:hAnsiTheme="minorBidi" w:cstheme="minorBidi"/>
          <w:sz w:val="21"/>
          <w:szCs w:val="21"/>
        </w:rPr>
        <w:t xml:space="preserve">Strong analytical and financial modeling skills </w:t>
      </w:r>
    </w:p>
    <w:p w14:paraId="36971948" w14:textId="77777777" w:rsidR="002215D3" w:rsidRPr="002215D3" w:rsidRDefault="002215D3" w:rsidP="002215D3">
      <w:pPr>
        <w:numPr>
          <w:ilvl w:val="0"/>
          <w:numId w:val="1"/>
        </w:numPr>
        <w:tabs>
          <w:tab w:val="left" w:pos="2355"/>
        </w:tabs>
        <w:autoSpaceDE/>
        <w:autoSpaceDN/>
        <w:spacing w:before="60"/>
        <w:jc w:val="both"/>
        <w:rPr>
          <w:rFonts w:asciiTheme="minorBidi" w:hAnsiTheme="minorBidi" w:cstheme="minorBidi"/>
          <w:sz w:val="21"/>
          <w:szCs w:val="21"/>
        </w:rPr>
      </w:pPr>
      <w:r w:rsidRPr="002215D3">
        <w:rPr>
          <w:rFonts w:asciiTheme="minorBidi" w:hAnsiTheme="minorBidi" w:cstheme="minorBidi"/>
          <w:sz w:val="21"/>
          <w:szCs w:val="21"/>
        </w:rPr>
        <w:t>Excellent communication and stakeholder management skills, with the ability to translate complex data into clear financial insights.</w:t>
      </w:r>
    </w:p>
    <w:p w14:paraId="5DB1ADE8" w14:textId="77777777" w:rsidR="002215D3" w:rsidRPr="002215D3" w:rsidRDefault="002215D3" w:rsidP="002215D3">
      <w:pPr>
        <w:numPr>
          <w:ilvl w:val="0"/>
          <w:numId w:val="1"/>
        </w:numPr>
        <w:tabs>
          <w:tab w:val="left" w:pos="2355"/>
        </w:tabs>
        <w:autoSpaceDE/>
        <w:autoSpaceDN/>
        <w:spacing w:before="60"/>
        <w:jc w:val="both"/>
        <w:rPr>
          <w:rFonts w:asciiTheme="minorBidi" w:hAnsiTheme="minorBidi" w:cstheme="minorBidi"/>
          <w:sz w:val="21"/>
          <w:szCs w:val="21"/>
        </w:rPr>
      </w:pPr>
      <w:r w:rsidRPr="002215D3">
        <w:rPr>
          <w:rFonts w:asciiTheme="minorBidi" w:hAnsiTheme="minorBidi" w:cstheme="minorBidi"/>
          <w:sz w:val="21"/>
          <w:szCs w:val="21"/>
        </w:rPr>
        <w:t>Familiarity with sustainability data management systems and tools is desirable</w:t>
      </w:r>
    </w:p>
    <w:p w14:paraId="04697374" w14:textId="77777777" w:rsidR="002215D3" w:rsidRPr="002215D3" w:rsidRDefault="002215D3" w:rsidP="002215D3">
      <w:pPr>
        <w:numPr>
          <w:ilvl w:val="0"/>
          <w:numId w:val="1"/>
        </w:numPr>
        <w:tabs>
          <w:tab w:val="left" w:pos="2355"/>
        </w:tabs>
        <w:autoSpaceDE/>
        <w:autoSpaceDN/>
        <w:spacing w:before="60"/>
        <w:jc w:val="both"/>
        <w:rPr>
          <w:rFonts w:asciiTheme="minorBidi" w:hAnsiTheme="minorBidi" w:cstheme="minorBidi"/>
          <w:sz w:val="21"/>
          <w:szCs w:val="21"/>
        </w:rPr>
      </w:pPr>
      <w:r w:rsidRPr="002215D3">
        <w:rPr>
          <w:rFonts w:asciiTheme="minorBidi" w:hAnsiTheme="minorBidi" w:cstheme="minorBidi"/>
          <w:sz w:val="21"/>
          <w:szCs w:val="21"/>
        </w:rPr>
        <w:t xml:space="preserve">Proficiency in accounting software and ERP systems. </w:t>
      </w:r>
    </w:p>
    <w:p w14:paraId="5C7ED845" w14:textId="77777777" w:rsidR="002215D3" w:rsidRPr="002215D3" w:rsidRDefault="002215D3" w:rsidP="002215D3">
      <w:pPr>
        <w:rPr>
          <w:rFonts w:asciiTheme="minorBidi" w:hAnsiTheme="minorBidi" w:cstheme="minorBidi"/>
          <w:sz w:val="21"/>
          <w:szCs w:val="21"/>
        </w:rPr>
      </w:pPr>
    </w:p>
    <w:p w14:paraId="093BB293" w14:textId="77777777" w:rsidR="002215D3" w:rsidRPr="002215D3" w:rsidRDefault="002215D3" w:rsidP="002215D3">
      <w:pPr>
        <w:spacing w:before="40"/>
        <w:jc w:val="both"/>
        <w:rPr>
          <w:rFonts w:asciiTheme="minorBidi" w:hAnsiTheme="minorBidi" w:cstheme="minorBidi"/>
          <w:b/>
          <w:bCs/>
          <w:sz w:val="21"/>
          <w:szCs w:val="21"/>
        </w:rPr>
      </w:pPr>
      <w:r w:rsidRPr="002215D3">
        <w:rPr>
          <w:rFonts w:asciiTheme="minorBidi" w:hAnsiTheme="minorBidi" w:cstheme="minorBidi"/>
          <w:b/>
          <w:bCs/>
          <w:sz w:val="21"/>
          <w:szCs w:val="21"/>
        </w:rPr>
        <w:t>Responsibilities and outcomes</w:t>
      </w:r>
    </w:p>
    <w:p w14:paraId="523E6D45" w14:textId="77777777" w:rsidR="002215D3" w:rsidRPr="002215D3" w:rsidRDefault="002215D3" w:rsidP="002215D3">
      <w:pPr>
        <w:rPr>
          <w:rFonts w:asciiTheme="minorBidi" w:hAnsiTheme="minorBidi" w:cstheme="minorBidi"/>
          <w:sz w:val="21"/>
          <w:szCs w:val="21"/>
        </w:rPr>
      </w:pPr>
      <w:r w:rsidRPr="002215D3">
        <w:rPr>
          <w:rFonts w:asciiTheme="minorBidi" w:hAnsiTheme="minorBidi" w:cstheme="minorBidi"/>
          <w:sz w:val="21"/>
          <w:szCs w:val="21"/>
        </w:rPr>
        <w:t xml:space="preserve"> </w:t>
      </w:r>
    </w:p>
    <w:p w14:paraId="3FF2CEED" w14:textId="77777777" w:rsidR="002215D3" w:rsidRPr="002215D3" w:rsidRDefault="002215D3" w:rsidP="002215D3">
      <w:pPr>
        <w:jc w:val="both"/>
        <w:rPr>
          <w:rFonts w:asciiTheme="minorBidi" w:hAnsiTheme="minorBidi" w:cstheme="minorBidi"/>
          <w:i/>
          <w:iCs/>
          <w:sz w:val="21"/>
          <w:szCs w:val="21"/>
        </w:rPr>
      </w:pPr>
      <w:r w:rsidRPr="002215D3">
        <w:rPr>
          <w:rFonts w:asciiTheme="minorBidi" w:hAnsiTheme="minorBidi" w:cstheme="minorBidi"/>
          <w:b/>
          <w:bCs/>
          <w:i/>
          <w:iCs/>
          <w:sz w:val="21"/>
          <w:szCs w:val="21"/>
        </w:rPr>
        <w:t xml:space="preserve">Sustainability Reporting and Compliance </w:t>
      </w:r>
    </w:p>
    <w:p w14:paraId="60F93249" w14:textId="77777777" w:rsidR="002215D3" w:rsidRPr="002215D3" w:rsidRDefault="002215D3" w:rsidP="002215D3">
      <w:pPr>
        <w:pStyle w:val="ListParagraph"/>
        <w:widowControl/>
        <w:numPr>
          <w:ilvl w:val="0"/>
          <w:numId w:val="1"/>
        </w:numPr>
        <w:autoSpaceDE/>
        <w:autoSpaceDN/>
        <w:contextualSpacing/>
        <w:jc w:val="both"/>
        <w:rPr>
          <w:rFonts w:asciiTheme="minorBidi" w:hAnsiTheme="minorBidi" w:cstheme="minorBidi"/>
          <w:sz w:val="21"/>
          <w:szCs w:val="21"/>
        </w:rPr>
      </w:pPr>
      <w:r w:rsidRPr="002215D3">
        <w:rPr>
          <w:rFonts w:asciiTheme="minorBidi" w:hAnsiTheme="minorBidi" w:cstheme="minorBidi"/>
          <w:sz w:val="21"/>
          <w:szCs w:val="21"/>
        </w:rPr>
        <w:t xml:space="preserve">Lead the preparation of sustainability reports in accordance with regulatory frameworks (e.g., AASB and ISSB standards, </w:t>
      </w:r>
      <w:r w:rsidRPr="002215D3">
        <w:rPr>
          <w:rFonts w:asciiTheme="minorBidi" w:hAnsiTheme="minorBidi" w:cstheme="minorBidi"/>
          <w:i/>
          <w:iCs/>
          <w:sz w:val="21"/>
          <w:szCs w:val="21"/>
        </w:rPr>
        <w:t>Corporations Act 2001</w:t>
      </w:r>
      <w:r w:rsidRPr="002215D3">
        <w:rPr>
          <w:rFonts w:asciiTheme="minorBidi" w:hAnsiTheme="minorBidi" w:cstheme="minorBidi"/>
          <w:sz w:val="21"/>
          <w:szCs w:val="21"/>
        </w:rPr>
        <w:t xml:space="preserve">, NGER Act, Global Reporting Initiative (GRI), Sustainability Accounting Standards Board (SASB), Task Force on Climate-related Financial Disclosures (TCFD) </w:t>
      </w:r>
    </w:p>
    <w:p w14:paraId="530B12B4" w14:textId="77777777" w:rsidR="002215D3" w:rsidRPr="002215D3" w:rsidRDefault="002215D3" w:rsidP="002215D3">
      <w:pPr>
        <w:numPr>
          <w:ilvl w:val="0"/>
          <w:numId w:val="1"/>
        </w:numPr>
        <w:tabs>
          <w:tab w:val="left" w:pos="2355"/>
        </w:tabs>
        <w:autoSpaceDE/>
        <w:autoSpaceDN/>
        <w:spacing w:before="60"/>
        <w:rPr>
          <w:rFonts w:asciiTheme="minorBidi" w:hAnsiTheme="minorBidi" w:cstheme="minorBidi"/>
          <w:sz w:val="21"/>
          <w:szCs w:val="21"/>
        </w:rPr>
      </w:pPr>
      <w:r w:rsidRPr="002215D3">
        <w:rPr>
          <w:rFonts w:asciiTheme="minorBidi" w:hAnsiTheme="minorBidi" w:cstheme="minorBidi"/>
          <w:sz w:val="21"/>
          <w:szCs w:val="21"/>
        </w:rPr>
        <w:t xml:space="preserve">Ensure compliance with mandatory and evolving national and international sustainability regulations and reporting requirements (e.g., ESG, carbon reporting, climate-related risks)  </w:t>
      </w:r>
    </w:p>
    <w:p w14:paraId="6AD96AB7"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sz w:val="21"/>
          <w:szCs w:val="21"/>
        </w:rPr>
      </w:pPr>
      <w:r w:rsidRPr="002215D3">
        <w:rPr>
          <w:rFonts w:asciiTheme="minorBidi" w:hAnsiTheme="minorBidi" w:cstheme="minorBidi"/>
          <w:color w:val="000000"/>
          <w:sz w:val="21"/>
          <w:szCs w:val="21"/>
        </w:rPr>
        <w:t xml:space="preserve">Assist with coordinating the submission of sustainability disclosures in the annual financial statements and integrated reports </w:t>
      </w:r>
    </w:p>
    <w:p w14:paraId="31DFDAD4" w14:textId="77777777" w:rsidR="002215D3" w:rsidRPr="002215D3" w:rsidRDefault="002215D3" w:rsidP="002215D3">
      <w:pPr>
        <w:rPr>
          <w:rFonts w:asciiTheme="minorBidi" w:hAnsiTheme="minorBidi" w:cstheme="minorBidi"/>
          <w:b/>
          <w:bCs/>
          <w:i/>
          <w:iCs/>
          <w:sz w:val="21"/>
          <w:szCs w:val="21"/>
        </w:rPr>
      </w:pPr>
    </w:p>
    <w:p w14:paraId="73DAC3AA" w14:textId="77777777" w:rsidR="002215D3" w:rsidRPr="002215D3" w:rsidRDefault="002215D3" w:rsidP="002215D3">
      <w:pPr>
        <w:rPr>
          <w:rFonts w:asciiTheme="minorBidi" w:hAnsiTheme="minorBidi" w:cstheme="minorBidi"/>
          <w:b/>
          <w:bCs/>
          <w:i/>
          <w:iCs/>
          <w:sz w:val="21"/>
          <w:szCs w:val="21"/>
        </w:rPr>
      </w:pPr>
    </w:p>
    <w:p w14:paraId="2A9149FE" w14:textId="77777777" w:rsidR="002215D3" w:rsidRPr="002215D3" w:rsidRDefault="002215D3" w:rsidP="002215D3">
      <w:pPr>
        <w:rPr>
          <w:rFonts w:asciiTheme="minorBidi" w:hAnsiTheme="minorBidi" w:cstheme="minorBidi"/>
          <w:b/>
          <w:bCs/>
          <w:i/>
          <w:iCs/>
          <w:sz w:val="21"/>
          <w:szCs w:val="21"/>
        </w:rPr>
      </w:pPr>
      <w:r w:rsidRPr="002215D3">
        <w:rPr>
          <w:rFonts w:asciiTheme="minorBidi" w:hAnsiTheme="minorBidi" w:cstheme="minorBidi"/>
          <w:b/>
          <w:bCs/>
          <w:i/>
          <w:iCs/>
          <w:sz w:val="21"/>
          <w:szCs w:val="21"/>
        </w:rPr>
        <w:t xml:space="preserve">Financial Analysis of Sustainability Initiatives </w:t>
      </w:r>
    </w:p>
    <w:p w14:paraId="22D06B38" w14:textId="77777777" w:rsidR="002215D3" w:rsidRPr="002215D3" w:rsidRDefault="002215D3" w:rsidP="002215D3">
      <w:pPr>
        <w:rPr>
          <w:rFonts w:asciiTheme="minorBidi" w:hAnsiTheme="minorBidi" w:cstheme="minorBidi"/>
          <w:b/>
          <w:bCs/>
          <w:i/>
          <w:iCs/>
          <w:sz w:val="21"/>
          <w:szCs w:val="21"/>
        </w:rPr>
      </w:pPr>
    </w:p>
    <w:p w14:paraId="30AE03EF"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sz w:val="21"/>
          <w:szCs w:val="21"/>
        </w:rPr>
      </w:pPr>
      <w:r w:rsidRPr="002215D3">
        <w:rPr>
          <w:rFonts w:asciiTheme="minorBidi" w:hAnsiTheme="minorBidi" w:cstheme="minorBidi"/>
          <w:sz w:val="21"/>
          <w:szCs w:val="21"/>
        </w:rPr>
        <w:t xml:space="preserve">Conduct financial analysis on the impact of sustainability initiatives (e.g., carbon footprint reduction, energy efficient projects) on the </w:t>
      </w:r>
      <w:proofErr w:type="spellStart"/>
      <w:r w:rsidRPr="002215D3">
        <w:rPr>
          <w:rFonts w:asciiTheme="minorBidi" w:hAnsiTheme="minorBidi" w:cstheme="minorBidi"/>
          <w:sz w:val="21"/>
          <w:szCs w:val="21"/>
        </w:rPr>
        <w:t>organisation’s</w:t>
      </w:r>
      <w:proofErr w:type="spellEnd"/>
      <w:r w:rsidRPr="002215D3">
        <w:rPr>
          <w:rFonts w:asciiTheme="minorBidi" w:hAnsiTheme="minorBidi" w:cstheme="minorBidi"/>
          <w:sz w:val="21"/>
          <w:szCs w:val="21"/>
        </w:rPr>
        <w:t xml:space="preserve"> performance. </w:t>
      </w:r>
    </w:p>
    <w:p w14:paraId="1ED9B155"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sz w:val="21"/>
          <w:szCs w:val="21"/>
        </w:rPr>
      </w:pPr>
      <w:r w:rsidRPr="002215D3">
        <w:rPr>
          <w:rFonts w:asciiTheme="minorBidi" w:hAnsiTheme="minorBidi" w:cstheme="minorBidi"/>
          <w:sz w:val="21"/>
          <w:szCs w:val="21"/>
        </w:rPr>
        <w:t>Develop frameworks for evaluating the financial risks and opportunities associated with climate change, resource management, and social responsibility.</w:t>
      </w:r>
    </w:p>
    <w:p w14:paraId="2074C4A0"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sz w:val="21"/>
          <w:szCs w:val="21"/>
        </w:rPr>
      </w:pPr>
      <w:r w:rsidRPr="002215D3">
        <w:rPr>
          <w:rFonts w:asciiTheme="minorBidi" w:hAnsiTheme="minorBidi" w:cstheme="minorBidi"/>
          <w:sz w:val="21"/>
          <w:szCs w:val="21"/>
        </w:rPr>
        <w:t xml:space="preserve">Collaborate with the Finance team to incorporate sustainability metrics into budgeting, forecasting, and strategic planning. </w:t>
      </w:r>
    </w:p>
    <w:p w14:paraId="3AA7F130" w14:textId="77777777" w:rsidR="002215D3" w:rsidRPr="002215D3" w:rsidRDefault="002215D3" w:rsidP="002215D3">
      <w:pPr>
        <w:rPr>
          <w:rFonts w:asciiTheme="minorBidi" w:hAnsiTheme="minorBidi" w:cstheme="minorBidi"/>
          <w:b/>
          <w:bCs/>
          <w:i/>
          <w:iCs/>
          <w:sz w:val="21"/>
          <w:szCs w:val="21"/>
        </w:rPr>
      </w:pPr>
      <w:r w:rsidRPr="002215D3">
        <w:rPr>
          <w:rFonts w:asciiTheme="minorBidi" w:hAnsiTheme="minorBidi" w:cstheme="minorBidi"/>
          <w:b/>
          <w:bCs/>
          <w:i/>
          <w:iCs/>
          <w:sz w:val="21"/>
          <w:szCs w:val="21"/>
        </w:rPr>
        <w:t xml:space="preserve"> </w:t>
      </w:r>
    </w:p>
    <w:p w14:paraId="57DC87B7" w14:textId="77777777" w:rsidR="002215D3" w:rsidRPr="002215D3" w:rsidRDefault="002215D3" w:rsidP="002215D3">
      <w:pPr>
        <w:rPr>
          <w:rFonts w:asciiTheme="minorBidi" w:hAnsiTheme="minorBidi" w:cstheme="minorBidi"/>
          <w:sz w:val="21"/>
          <w:szCs w:val="21"/>
        </w:rPr>
      </w:pPr>
      <w:r w:rsidRPr="002215D3">
        <w:rPr>
          <w:rFonts w:asciiTheme="minorBidi" w:hAnsiTheme="minorBidi" w:cstheme="minorBidi"/>
          <w:b/>
          <w:bCs/>
          <w:i/>
          <w:iCs/>
          <w:sz w:val="21"/>
          <w:szCs w:val="21"/>
        </w:rPr>
        <w:t xml:space="preserve">Compliance &amp; Risk Management </w:t>
      </w:r>
    </w:p>
    <w:p w14:paraId="424F6A0C"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sz w:val="21"/>
          <w:szCs w:val="21"/>
        </w:rPr>
      </w:pPr>
      <w:r w:rsidRPr="002215D3">
        <w:rPr>
          <w:rFonts w:asciiTheme="minorBidi" w:hAnsiTheme="minorBidi" w:cstheme="minorBidi"/>
          <w:sz w:val="21"/>
          <w:szCs w:val="21"/>
        </w:rPr>
        <w:t xml:space="preserve">Ensure all sustainability-related financial disclosures comply with regulatory requirements and internal governance policies </w:t>
      </w:r>
    </w:p>
    <w:p w14:paraId="7BA41DC8"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sz w:val="21"/>
          <w:szCs w:val="21"/>
        </w:rPr>
      </w:pPr>
      <w:r w:rsidRPr="002215D3">
        <w:rPr>
          <w:rFonts w:asciiTheme="minorBidi" w:hAnsiTheme="minorBidi" w:cstheme="minorBidi"/>
          <w:sz w:val="21"/>
          <w:szCs w:val="21"/>
        </w:rPr>
        <w:t xml:space="preserve">Assist in developing and implementing sustainability-related risk management frameworks, Including climate risk. </w:t>
      </w:r>
    </w:p>
    <w:p w14:paraId="6217702C"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sz w:val="21"/>
          <w:szCs w:val="21"/>
        </w:rPr>
      </w:pPr>
      <w:r w:rsidRPr="002215D3">
        <w:rPr>
          <w:rFonts w:asciiTheme="minorBidi" w:hAnsiTheme="minorBidi" w:cstheme="minorBidi"/>
          <w:sz w:val="21"/>
          <w:szCs w:val="21"/>
        </w:rPr>
        <w:t xml:space="preserve">Liaise with auditors on sustainability disclosures as part of the annual financial audit process. </w:t>
      </w:r>
    </w:p>
    <w:p w14:paraId="38374531" w14:textId="77777777" w:rsidR="002215D3" w:rsidRPr="002215D3" w:rsidRDefault="002215D3" w:rsidP="002215D3">
      <w:pPr>
        <w:spacing w:before="40"/>
        <w:rPr>
          <w:rFonts w:asciiTheme="minorBidi" w:hAnsiTheme="minorBidi" w:cstheme="minorBidi"/>
          <w:sz w:val="21"/>
          <w:szCs w:val="21"/>
        </w:rPr>
      </w:pPr>
      <w:r w:rsidRPr="002215D3">
        <w:rPr>
          <w:rFonts w:asciiTheme="minorBidi" w:hAnsiTheme="minorBidi" w:cstheme="minorBidi"/>
          <w:sz w:val="21"/>
          <w:szCs w:val="21"/>
        </w:rPr>
        <w:t xml:space="preserve"> </w:t>
      </w:r>
    </w:p>
    <w:p w14:paraId="3B663048" w14:textId="77777777" w:rsidR="002215D3" w:rsidRPr="002215D3" w:rsidRDefault="002215D3" w:rsidP="002215D3">
      <w:pPr>
        <w:spacing w:before="40"/>
        <w:rPr>
          <w:rFonts w:asciiTheme="minorBidi" w:hAnsiTheme="minorBidi" w:cstheme="minorBidi"/>
          <w:sz w:val="21"/>
          <w:szCs w:val="21"/>
        </w:rPr>
      </w:pPr>
      <w:r w:rsidRPr="002215D3">
        <w:rPr>
          <w:rFonts w:asciiTheme="minorBidi" w:hAnsiTheme="minorBidi" w:cstheme="minorBidi"/>
          <w:sz w:val="21"/>
          <w:szCs w:val="21"/>
        </w:rPr>
        <w:t xml:space="preserve"> </w:t>
      </w:r>
    </w:p>
    <w:p w14:paraId="5A571EEF" w14:textId="77777777" w:rsidR="002215D3" w:rsidRPr="002215D3" w:rsidRDefault="002215D3" w:rsidP="002215D3">
      <w:pPr>
        <w:rPr>
          <w:rFonts w:asciiTheme="minorBidi" w:hAnsiTheme="minorBidi" w:cstheme="minorBidi"/>
          <w:sz w:val="21"/>
          <w:szCs w:val="21"/>
        </w:rPr>
      </w:pPr>
      <w:r w:rsidRPr="002215D3">
        <w:rPr>
          <w:rFonts w:asciiTheme="minorBidi" w:hAnsiTheme="minorBidi" w:cstheme="minorBidi"/>
          <w:b/>
          <w:bCs/>
          <w:i/>
          <w:iCs/>
          <w:sz w:val="21"/>
          <w:szCs w:val="21"/>
        </w:rPr>
        <w:t xml:space="preserve">Stakeholder Engagement </w:t>
      </w:r>
    </w:p>
    <w:p w14:paraId="5B4A9C6D"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color w:val="000000" w:themeColor="text1"/>
          <w:sz w:val="21"/>
          <w:szCs w:val="21"/>
        </w:rPr>
      </w:pPr>
      <w:r w:rsidRPr="002215D3">
        <w:rPr>
          <w:rFonts w:asciiTheme="minorBidi" w:hAnsiTheme="minorBidi" w:cstheme="minorBidi"/>
          <w:color w:val="000000" w:themeColor="text1"/>
          <w:sz w:val="21"/>
          <w:szCs w:val="21"/>
        </w:rPr>
        <w:t xml:space="preserve">Act as a key point of contact for sustainability reporting, engaging with internal and external stakeholders, regulators, and auditors. </w:t>
      </w:r>
    </w:p>
    <w:p w14:paraId="585FE720"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color w:val="000000" w:themeColor="text1"/>
          <w:sz w:val="21"/>
          <w:szCs w:val="21"/>
        </w:rPr>
      </w:pPr>
      <w:r w:rsidRPr="002215D3">
        <w:rPr>
          <w:rFonts w:asciiTheme="minorBidi" w:hAnsiTheme="minorBidi" w:cstheme="minorBidi"/>
          <w:color w:val="000000" w:themeColor="text1"/>
          <w:sz w:val="21"/>
          <w:szCs w:val="21"/>
        </w:rPr>
        <w:t>Assist the Strategy &amp; Sustainability team with providing clear, concise reports to senior management and the board on the progress of sustainability initiatives and their financial impact.</w:t>
      </w:r>
    </w:p>
    <w:p w14:paraId="7232952F"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color w:val="000000" w:themeColor="text1"/>
          <w:sz w:val="21"/>
          <w:szCs w:val="21"/>
        </w:rPr>
      </w:pPr>
      <w:r w:rsidRPr="002215D3">
        <w:rPr>
          <w:rFonts w:asciiTheme="minorBidi" w:hAnsiTheme="minorBidi" w:cstheme="minorBidi"/>
          <w:color w:val="000000" w:themeColor="text1"/>
          <w:sz w:val="21"/>
          <w:szCs w:val="21"/>
        </w:rPr>
        <w:t>Support financial stakeholders with sustainability-related financial insights for external presentations and reporting.</w:t>
      </w:r>
    </w:p>
    <w:p w14:paraId="19920EC2" w14:textId="77777777" w:rsidR="002215D3" w:rsidRPr="002215D3" w:rsidRDefault="002215D3" w:rsidP="002215D3">
      <w:pPr>
        <w:rPr>
          <w:rFonts w:asciiTheme="minorBidi" w:hAnsiTheme="minorBidi" w:cstheme="minorBidi"/>
          <w:b/>
          <w:bCs/>
          <w:i/>
          <w:iCs/>
          <w:sz w:val="21"/>
          <w:szCs w:val="21"/>
        </w:rPr>
      </w:pPr>
    </w:p>
    <w:p w14:paraId="134CE47F" w14:textId="77777777" w:rsidR="002215D3" w:rsidRPr="002215D3" w:rsidRDefault="002215D3" w:rsidP="002215D3">
      <w:pPr>
        <w:rPr>
          <w:rFonts w:asciiTheme="minorBidi" w:hAnsiTheme="minorBidi" w:cstheme="minorBidi"/>
          <w:b/>
          <w:bCs/>
          <w:i/>
          <w:iCs/>
          <w:sz w:val="21"/>
          <w:szCs w:val="21"/>
        </w:rPr>
      </w:pPr>
    </w:p>
    <w:p w14:paraId="07E6A293" w14:textId="77777777" w:rsidR="002215D3" w:rsidRPr="002215D3" w:rsidRDefault="002215D3" w:rsidP="002215D3">
      <w:pPr>
        <w:rPr>
          <w:rFonts w:asciiTheme="minorBidi" w:hAnsiTheme="minorBidi" w:cstheme="minorBidi"/>
          <w:b/>
          <w:bCs/>
          <w:i/>
          <w:iCs/>
          <w:sz w:val="21"/>
          <w:szCs w:val="21"/>
        </w:rPr>
      </w:pPr>
      <w:r w:rsidRPr="002215D3">
        <w:rPr>
          <w:rFonts w:asciiTheme="minorBidi" w:hAnsiTheme="minorBidi" w:cstheme="minorBidi"/>
          <w:b/>
          <w:bCs/>
          <w:i/>
          <w:iCs/>
          <w:sz w:val="21"/>
          <w:szCs w:val="21"/>
        </w:rPr>
        <w:lastRenderedPageBreak/>
        <w:t xml:space="preserve">Technical Accounting Advice </w:t>
      </w:r>
    </w:p>
    <w:p w14:paraId="35F78AFD" w14:textId="77777777" w:rsidR="002215D3" w:rsidRPr="002215D3" w:rsidRDefault="002215D3" w:rsidP="002215D3">
      <w:pPr>
        <w:pStyle w:val="ListParagraph"/>
        <w:widowControl/>
        <w:numPr>
          <w:ilvl w:val="0"/>
          <w:numId w:val="1"/>
        </w:numPr>
        <w:autoSpaceDE/>
        <w:autoSpaceDN/>
        <w:spacing w:line="240" w:lineRule="exact"/>
        <w:contextualSpacing/>
        <w:jc w:val="both"/>
        <w:rPr>
          <w:rFonts w:asciiTheme="minorBidi" w:hAnsiTheme="minorBidi" w:cstheme="minorBidi"/>
          <w:color w:val="000000" w:themeColor="text1"/>
          <w:sz w:val="21"/>
          <w:szCs w:val="21"/>
        </w:rPr>
      </w:pPr>
      <w:r w:rsidRPr="002215D3">
        <w:rPr>
          <w:rFonts w:asciiTheme="minorBidi" w:hAnsiTheme="minorBidi" w:cstheme="minorBidi"/>
          <w:color w:val="000000" w:themeColor="text1"/>
          <w:sz w:val="21"/>
          <w:szCs w:val="21"/>
        </w:rPr>
        <w:t xml:space="preserve">Provide expert technical accounting guidance for growth and future energy projects, ensuring compliance with relevant accounting standards. </w:t>
      </w:r>
    </w:p>
    <w:p w14:paraId="749BDE7A" w14:textId="77777777" w:rsidR="002215D3" w:rsidRPr="002215D3" w:rsidRDefault="002215D3" w:rsidP="002215D3">
      <w:pPr>
        <w:pStyle w:val="ListParagraph"/>
        <w:widowControl/>
        <w:numPr>
          <w:ilvl w:val="0"/>
          <w:numId w:val="1"/>
        </w:numPr>
        <w:autoSpaceDE/>
        <w:autoSpaceDN/>
        <w:spacing w:line="240" w:lineRule="exact"/>
        <w:contextualSpacing/>
        <w:jc w:val="both"/>
        <w:rPr>
          <w:rFonts w:asciiTheme="minorBidi" w:hAnsiTheme="minorBidi" w:cstheme="minorBidi"/>
          <w:color w:val="000000" w:themeColor="text1"/>
          <w:sz w:val="21"/>
          <w:szCs w:val="21"/>
        </w:rPr>
      </w:pPr>
      <w:r w:rsidRPr="002215D3">
        <w:rPr>
          <w:rFonts w:asciiTheme="minorBidi" w:hAnsiTheme="minorBidi" w:cstheme="minorBidi"/>
          <w:color w:val="000000" w:themeColor="text1"/>
          <w:sz w:val="21"/>
          <w:szCs w:val="21"/>
        </w:rPr>
        <w:t>Advise on the accounting treatment for acquisitions, joint ventures, and other strategic business initiatives.</w:t>
      </w:r>
    </w:p>
    <w:p w14:paraId="1AB2F4F8" w14:textId="77777777" w:rsidR="002215D3" w:rsidRPr="002215D3" w:rsidRDefault="002215D3" w:rsidP="002215D3">
      <w:pPr>
        <w:pStyle w:val="ListParagraph"/>
        <w:widowControl/>
        <w:numPr>
          <w:ilvl w:val="0"/>
          <w:numId w:val="1"/>
        </w:numPr>
        <w:autoSpaceDE/>
        <w:autoSpaceDN/>
        <w:spacing w:line="240" w:lineRule="exact"/>
        <w:contextualSpacing/>
        <w:jc w:val="both"/>
        <w:rPr>
          <w:rFonts w:asciiTheme="minorBidi" w:hAnsiTheme="minorBidi" w:cstheme="minorBidi"/>
          <w:b/>
          <w:bCs/>
          <w:i/>
          <w:iCs/>
          <w:sz w:val="21"/>
          <w:szCs w:val="21"/>
        </w:rPr>
      </w:pPr>
      <w:r w:rsidRPr="002215D3">
        <w:rPr>
          <w:rFonts w:asciiTheme="minorBidi" w:hAnsiTheme="minorBidi" w:cstheme="minorBidi"/>
          <w:color w:val="000000" w:themeColor="text1"/>
          <w:sz w:val="21"/>
          <w:szCs w:val="21"/>
        </w:rPr>
        <w:t xml:space="preserve">Assess and advise on the financial implications of contract structures, capital investments, and asset acquisitions, ensuring proper classification and recognition. </w:t>
      </w:r>
    </w:p>
    <w:p w14:paraId="5E6C914E" w14:textId="77777777" w:rsidR="002215D3" w:rsidRPr="002215D3" w:rsidRDefault="002215D3" w:rsidP="002215D3">
      <w:pPr>
        <w:rPr>
          <w:rFonts w:asciiTheme="minorBidi" w:hAnsiTheme="minorBidi" w:cstheme="minorBidi"/>
          <w:b/>
          <w:bCs/>
          <w:i/>
          <w:iCs/>
          <w:sz w:val="21"/>
          <w:szCs w:val="21"/>
        </w:rPr>
      </w:pPr>
    </w:p>
    <w:p w14:paraId="060F348E" w14:textId="77777777" w:rsidR="002215D3" w:rsidRPr="002215D3" w:rsidRDefault="002215D3" w:rsidP="002215D3">
      <w:pPr>
        <w:rPr>
          <w:rFonts w:asciiTheme="minorBidi" w:hAnsiTheme="minorBidi" w:cstheme="minorBidi"/>
          <w:b/>
          <w:bCs/>
          <w:i/>
          <w:iCs/>
          <w:sz w:val="21"/>
          <w:szCs w:val="21"/>
        </w:rPr>
      </w:pPr>
      <w:r w:rsidRPr="002215D3">
        <w:rPr>
          <w:rFonts w:asciiTheme="minorBidi" w:hAnsiTheme="minorBidi" w:cstheme="minorBidi"/>
          <w:b/>
          <w:bCs/>
          <w:i/>
          <w:iCs/>
          <w:sz w:val="21"/>
          <w:szCs w:val="21"/>
        </w:rPr>
        <w:t>Financial Modeling</w:t>
      </w:r>
    </w:p>
    <w:p w14:paraId="105FEF8D" w14:textId="77777777" w:rsidR="002215D3" w:rsidRPr="002215D3" w:rsidRDefault="002215D3" w:rsidP="002215D3">
      <w:pPr>
        <w:pStyle w:val="ListParagraph"/>
        <w:widowControl/>
        <w:numPr>
          <w:ilvl w:val="0"/>
          <w:numId w:val="1"/>
        </w:numPr>
        <w:autoSpaceDE/>
        <w:autoSpaceDN/>
        <w:spacing w:line="240" w:lineRule="exact"/>
        <w:contextualSpacing/>
        <w:jc w:val="both"/>
        <w:rPr>
          <w:rFonts w:asciiTheme="minorBidi" w:hAnsiTheme="minorBidi" w:cstheme="minorBidi"/>
          <w:color w:val="000000" w:themeColor="text1"/>
          <w:sz w:val="21"/>
          <w:szCs w:val="21"/>
        </w:rPr>
      </w:pPr>
      <w:r w:rsidRPr="002215D3">
        <w:rPr>
          <w:rFonts w:asciiTheme="minorBidi" w:hAnsiTheme="minorBidi" w:cstheme="minorBidi"/>
          <w:color w:val="000000" w:themeColor="text1"/>
          <w:sz w:val="21"/>
          <w:szCs w:val="21"/>
        </w:rPr>
        <w:t xml:space="preserve">Assist with developing detailed financial models to assess potential impairment losses or write-backs of Stanwell’s CGUs, in accordance with AASB 136. </w:t>
      </w:r>
    </w:p>
    <w:p w14:paraId="4B759E08" w14:textId="77777777" w:rsidR="002215D3" w:rsidRPr="002215D3" w:rsidRDefault="002215D3" w:rsidP="002215D3">
      <w:pPr>
        <w:pStyle w:val="ListParagraph"/>
        <w:widowControl/>
        <w:numPr>
          <w:ilvl w:val="0"/>
          <w:numId w:val="1"/>
        </w:numPr>
        <w:autoSpaceDE/>
        <w:autoSpaceDN/>
        <w:spacing w:line="240" w:lineRule="exact"/>
        <w:contextualSpacing/>
        <w:jc w:val="both"/>
        <w:rPr>
          <w:rFonts w:asciiTheme="minorBidi" w:hAnsiTheme="minorBidi" w:cstheme="minorBidi"/>
          <w:color w:val="000000" w:themeColor="text1"/>
          <w:sz w:val="21"/>
          <w:szCs w:val="21"/>
        </w:rPr>
      </w:pPr>
      <w:proofErr w:type="spellStart"/>
      <w:r w:rsidRPr="002215D3">
        <w:rPr>
          <w:rFonts w:asciiTheme="minorBidi" w:hAnsiTheme="minorBidi" w:cstheme="minorBidi"/>
          <w:color w:val="000000" w:themeColor="text1"/>
          <w:sz w:val="21"/>
          <w:szCs w:val="21"/>
        </w:rPr>
        <w:t>Analyse</w:t>
      </w:r>
      <w:proofErr w:type="spellEnd"/>
      <w:r w:rsidRPr="002215D3">
        <w:rPr>
          <w:rFonts w:asciiTheme="minorBidi" w:hAnsiTheme="minorBidi" w:cstheme="minorBidi"/>
          <w:color w:val="000000" w:themeColor="text1"/>
          <w:sz w:val="21"/>
          <w:szCs w:val="21"/>
        </w:rPr>
        <w:t xml:space="preserve"> the recoverable amount of Stanwell’s CGUs by calculating value -in-use, incorporating assumptions related to future cash flows, discount rates and market conditions.</w:t>
      </w:r>
    </w:p>
    <w:p w14:paraId="7A3C8061" w14:textId="77777777" w:rsidR="002215D3" w:rsidRPr="002215D3" w:rsidRDefault="002215D3" w:rsidP="002215D3">
      <w:pPr>
        <w:pStyle w:val="ListParagraph"/>
        <w:widowControl/>
        <w:numPr>
          <w:ilvl w:val="0"/>
          <w:numId w:val="1"/>
        </w:numPr>
        <w:autoSpaceDE/>
        <w:autoSpaceDN/>
        <w:spacing w:line="240" w:lineRule="exact"/>
        <w:contextualSpacing/>
        <w:jc w:val="both"/>
        <w:rPr>
          <w:rFonts w:asciiTheme="minorBidi" w:hAnsiTheme="minorBidi" w:cstheme="minorBidi"/>
          <w:b/>
          <w:bCs/>
          <w:i/>
          <w:iCs/>
          <w:sz w:val="21"/>
          <w:szCs w:val="21"/>
        </w:rPr>
      </w:pPr>
      <w:r w:rsidRPr="002215D3">
        <w:rPr>
          <w:rFonts w:asciiTheme="minorBidi" w:hAnsiTheme="minorBidi" w:cstheme="minorBidi"/>
          <w:color w:val="000000" w:themeColor="text1"/>
          <w:sz w:val="21"/>
          <w:szCs w:val="21"/>
        </w:rPr>
        <w:t>Collaborate with the finance, energy markets and operational teams to gather the necessary data for impairment testing, including budget and forecast data, pricing curves and capital expenditure programs.</w:t>
      </w:r>
    </w:p>
    <w:p w14:paraId="7E160385" w14:textId="77777777" w:rsidR="002215D3" w:rsidRPr="002215D3" w:rsidRDefault="002215D3" w:rsidP="002215D3">
      <w:pPr>
        <w:pStyle w:val="ListParagraph"/>
        <w:widowControl/>
        <w:numPr>
          <w:ilvl w:val="0"/>
          <w:numId w:val="1"/>
        </w:numPr>
        <w:autoSpaceDE/>
        <w:autoSpaceDN/>
        <w:spacing w:line="240" w:lineRule="exact"/>
        <w:contextualSpacing/>
        <w:jc w:val="both"/>
        <w:rPr>
          <w:rFonts w:asciiTheme="minorBidi" w:hAnsiTheme="minorBidi" w:cstheme="minorBidi"/>
          <w:b/>
          <w:bCs/>
          <w:i/>
          <w:iCs/>
          <w:sz w:val="21"/>
          <w:szCs w:val="21"/>
        </w:rPr>
      </w:pPr>
      <w:r w:rsidRPr="002215D3">
        <w:rPr>
          <w:rFonts w:asciiTheme="minorBidi" w:hAnsiTheme="minorBidi" w:cstheme="minorBidi"/>
          <w:color w:val="000000" w:themeColor="text1"/>
          <w:sz w:val="21"/>
          <w:szCs w:val="21"/>
        </w:rPr>
        <w:t>Assist with building and maintaining financial models to estimate future rehabilitation and decommissioning costs for capital-intensive projects.</w:t>
      </w:r>
    </w:p>
    <w:p w14:paraId="2D91EFF1" w14:textId="77777777" w:rsidR="002215D3" w:rsidRPr="002215D3" w:rsidRDefault="002215D3" w:rsidP="002215D3">
      <w:pPr>
        <w:pStyle w:val="ListParagraph"/>
        <w:widowControl/>
        <w:numPr>
          <w:ilvl w:val="0"/>
          <w:numId w:val="1"/>
        </w:numPr>
        <w:autoSpaceDE/>
        <w:autoSpaceDN/>
        <w:spacing w:line="240" w:lineRule="exact"/>
        <w:contextualSpacing/>
        <w:jc w:val="both"/>
        <w:rPr>
          <w:rFonts w:asciiTheme="minorBidi" w:hAnsiTheme="minorBidi" w:cstheme="minorBidi"/>
          <w:b/>
          <w:bCs/>
          <w:i/>
          <w:iCs/>
          <w:sz w:val="21"/>
          <w:szCs w:val="21"/>
        </w:rPr>
      </w:pPr>
      <w:r w:rsidRPr="002215D3">
        <w:rPr>
          <w:rFonts w:asciiTheme="minorBidi" w:hAnsiTheme="minorBidi" w:cstheme="minorBidi"/>
          <w:color w:val="000000" w:themeColor="text1"/>
          <w:sz w:val="21"/>
          <w:szCs w:val="21"/>
        </w:rPr>
        <w:t xml:space="preserve">Ensure compliance with accounting standards for rehabilitation provisions (AASB 137) and relevant environmental regulations. </w:t>
      </w:r>
    </w:p>
    <w:p w14:paraId="52AEB64F" w14:textId="77777777" w:rsidR="002215D3" w:rsidRPr="002215D3" w:rsidRDefault="002215D3" w:rsidP="002215D3">
      <w:pPr>
        <w:pStyle w:val="ListParagraph"/>
        <w:widowControl/>
        <w:numPr>
          <w:ilvl w:val="0"/>
          <w:numId w:val="1"/>
        </w:numPr>
        <w:autoSpaceDE/>
        <w:autoSpaceDN/>
        <w:spacing w:line="240" w:lineRule="exact"/>
        <w:contextualSpacing/>
        <w:jc w:val="both"/>
        <w:rPr>
          <w:rFonts w:asciiTheme="minorBidi" w:hAnsiTheme="minorBidi" w:cstheme="minorBidi"/>
          <w:b/>
          <w:bCs/>
          <w:i/>
          <w:iCs/>
          <w:sz w:val="21"/>
          <w:szCs w:val="21"/>
        </w:rPr>
      </w:pPr>
      <w:r w:rsidRPr="002215D3">
        <w:rPr>
          <w:rFonts w:asciiTheme="minorBidi" w:hAnsiTheme="minorBidi" w:cstheme="minorBidi"/>
          <w:color w:val="000000" w:themeColor="text1"/>
          <w:sz w:val="21"/>
          <w:szCs w:val="21"/>
        </w:rPr>
        <w:t xml:space="preserve">Incorporate cost estimates for future site remediation and restoration obligations into financial models. </w:t>
      </w:r>
    </w:p>
    <w:p w14:paraId="1394D2AA" w14:textId="77777777" w:rsidR="002215D3" w:rsidRPr="002215D3" w:rsidRDefault="002215D3" w:rsidP="002215D3">
      <w:pPr>
        <w:pStyle w:val="ListParagraph"/>
        <w:spacing w:line="240" w:lineRule="exact"/>
        <w:jc w:val="both"/>
        <w:rPr>
          <w:rFonts w:asciiTheme="minorBidi" w:hAnsiTheme="minorBidi" w:cstheme="minorBidi"/>
          <w:b/>
          <w:bCs/>
          <w:i/>
          <w:iCs/>
          <w:sz w:val="21"/>
          <w:szCs w:val="21"/>
        </w:rPr>
      </w:pPr>
    </w:p>
    <w:p w14:paraId="4F626EB1" w14:textId="77777777" w:rsidR="002215D3" w:rsidRPr="002215D3" w:rsidRDefault="002215D3" w:rsidP="002215D3">
      <w:pPr>
        <w:rPr>
          <w:rFonts w:asciiTheme="minorBidi" w:hAnsiTheme="minorBidi" w:cstheme="minorBidi"/>
          <w:sz w:val="21"/>
          <w:szCs w:val="21"/>
        </w:rPr>
      </w:pPr>
      <w:r w:rsidRPr="002215D3">
        <w:rPr>
          <w:rFonts w:asciiTheme="minorBidi" w:hAnsiTheme="minorBidi" w:cstheme="minorBidi"/>
          <w:b/>
          <w:bCs/>
          <w:i/>
          <w:iCs/>
          <w:sz w:val="21"/>
          <w:szCs w:val="21"/>
        </w:rPr>
        <w:t>Continuous Improvement</w:t>
      </w:r>
      <w:r w:rsidRPr="002215D3">
        <w:rPr>
          <w:rFonts w:asciiTheme="minorBidi" w:hAnsiTheme="minorBidi" w:cstheme="minorBidi"/>
          <w:sz w:val="21"/>
          <w:szCs w:val="21"/>
        </w:rPr>
        <w:t xml:space="preserve"> </w:t>
      </w:r>
    </w:p>
    <w:p w14:paraId="0E3D5937"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sz w:val="21"/>
          <w:szCs w:val="21"/>
        </w:rPr>
      </w:pPr>
      <w:r w:rsidRPr="002215D3">
        <w:rPr>
          <w:rFonts w:asciiTheme="minorBidi" w:hAnsiTheme="minorBidi" w:cstheme="minorBidi"/>
          <w:sz w:val="21"/>
          <w:szCs w:val="21"/>
        </w:rPr>
        <w:t xml:space="preserve">Identify opportunities to improve sustainability-related data quality, collection processes, and reporting systems. </w:t>
      </w:r>
    </w:p>
    <w:p w14:paraId="62944F72"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sz w:val="21"/>
          <w:szCs w:val="21"/>
        </w:rPr>
      </w:pPr>
      <w:r w:rsidRPr="002215D3">
        <w:rPr>
          <w:rFonts w:asciiTheme="minorBidi" w:hAnsiTheme="minorBidi" w:cstheme="minorBidi"/>
          <w:sz w:val="21"/>
          <w:szCs w:val="21"/>
        </w:rPr>
        <w:t>Stay abreast of industry trends, new technologies, and best practices in sustainability accounting and reporting.</w:t>
      </w:r>
    </w:p>
    <w:p w14:paraId="6EB8B8A7" w14:textId="77777777" w:rsidR="002215D3" w:rsidRPr="002215D3" w:rsidRDefault="002215D3" w:rsidP="002215D3">
      <w:pPr>
        <w:pStyle w:val="ListParagraph"/>
        <w:widowControl/>
        <w:numPr>
          <w:ilvl w:val="0"/>
          <w:numId w:val="1"/>
        </w:numPr>
        <w:autoSpaceDE/>
        <w:autoSpaceDN/>
        <w:contextualSpacing/>
        <w:rPr>
          <w:rFonts w:asciiTheme="minorBidi" w:hAnsiTheme="minorBidi" w:cstheme="minorBidi"/>
          <w:sz w:val="21"/>
          <w:szCs w:val="21"/>
        </w:rPr>
      </w:pPr>
      <w:r w:rsidRPr="002215D3">
        <w:rPr>
          <w:rFonts w:asciiTheme="minorBidi" w:hAnsiTheme="minorBidi" w:cstheme="minorBidi"/>
          <w:sz w:val="21"/>
          <w:szCs w:val="21"/>
        </w:rPr>
        <w:t xml:space="preserve">Lead training and awareness programs on sustainability reporting within the finance team. </w:t>
      </w:r>
    </w:p>
    <w:p w14:paraId="39DE0BD4" w14:textId="77777777" w:rsidR="002215D3" w:rsidRDefault="002215D3" w:rsidP="002215D3">
      <w:pPr>
        <w:pStyle w:val="Heading2"/>
        <w:rPr>
          <w:rFonts w:asciiTheme="minorBidi" w:eastAsia="Arial" w:hAnsiTheme="minorBidi" w:cstheme="minorBidi"/>
          <w:sz w:val="21"/>
          <w:szCs w:val="21"/>
        </w:rPr>
      </w:pPr>
    </w:p>
    <w:p w14:paraId="3F90E29E" w14:textId="24DC7E17" w:rsidR="002215D3" w:rsidRPr="002215D3" w:rsidRDefault="002215D3" w:rsidP="002215D3">
      <w:pPr>
        <w:spacing w:line="259" w:lineRule="auto"/>
        <w:rPr>
          <w:rFonts w:asciiTheme="minorBidi" w:hAnsiTheme="minorBidi" w:cstheme="minorBidi"/>
          <w:b/>
          <w:bCs/>
          <w:sz w:val="21"/>
          <w:szCs w:val="21"/>
        </w:rPr>
      </w:pPr>
      <w:r w:rsidRPr="002215D3">
        <w:rPr>
          <w:rFonts w:asciiTheme="minorBidi" w:hAnsiTheme="minorBidi" w:cstheme="minorBidi"/>
          <w:b/>
          <w:bCs/>
          <w:sz w:val="21"/>
          <w:szCs w:val="21"/>
        </w:rPr>
        <w:t xml:space="preserve"> Key capabilities</w:t>
      </w:r>
    </w:p>
    <w:p w14:paraId="7C98190D" w14:textId="77777777" w:rsidR="002215D3" w:rsidRDefault="002215D3" w:rsidP="002215D3">
      <w:pPr>
        <w:tabs>
          <w:tab w:val="left" w:pos="2040"/>
        </w:tabs>
        <w:jc w:val="both"/>
        <w:rPr>
          <w:rFonts w:asciiTheme="minorBidi" w:hAnsiTheme="minorBidi" w:cstheme="minorBidi"/>
          <w:sz w:val="21"/>
          <w:szCs w:val="21"/>
          <w:lang w:val="en"/>
        </w:rPr>
      </w:pPr>
    </w:p>
    <w:p w14:paraId="34529C4B" w14:textId="4F90AF0B" w:rsidR="002215D3" w:rsidRPr="002215D3" w:rsidRDefault="002215D3" w:rsidP="002215D3">
      <w:pPr>
        <w:tabs>
          <w:tab w:val="left" w:pos="2040"/>
        </w:tabs>
        <w:jc w:val="both"/>
        <w:rPr>
          <w:rFonts w:asciiTheme="minorBidi" w:hAnsiTheme="minorBidi" w:cstheme="minorBidi"/>
          <w:sz w:val="21"/>
          <w:szCs w:val="21"/>
        </w:rPr>
      </w:pPr>
      <w:r w:rsidRPr="002215D3">
        <w:rPr>
          <w:rFonts w:asciiTheme="minorBidi" w:hAnsiTheme="minorBidi" w:cstheme="minorBidi"/>
          <w:sz w:val="21"/>
          <w:szCs w:val="21"/>
          <w:lang w:val="en"/>
        </w:rPr>
        <w:t>This position is expected to have demonstrated capability in the following areas:</w:t>
      </w:r>
    </w:p>
    <w:p w14:paraId="6042BB5E" w14:textId="77777777" w:rsidR="002215D3" w:rsidRPr="002215D3" w:rsidRDefault="002215D3" w:rsidP="002215D3">
      <w:pPr>
        <w:tabs>
          <w:tab w:val="left" w:pos="2040"/>
        </w:tabs>
        <w:jc w:val="both"/>
        <w:rPr>
          <w:rFonts w:asciiTheme="minorBidi" w:hAnsiTheme="minorBidi" w:cstheme="minorBidi"/>
          <w:sz w:val="21"/>
          <w:szCs w:val="21"/>
          <w:lang w:val="en"/>
        </w:rPr>
      </w:pPr>
      <w:r w:rsidRPr="002215D3">
        <w:rPr>
          <w:rFonts w:asciiTheme="minorBidi" w:hAnsiTheme="minorBidi" w:cstheme="minorBidi"/>
          <w:sz w:val="21"/>
          <w:szCs w:val="21"/>
          <w:lang w:val="en"/>
        </w:rPr>
        <w:t xml:space="preserve"> </w:t>
      </w:r>
    </w:p>
    <w:p w14:paraId="7B1AE1FB" w14:textId="77777777" w:rsidR="002215D3" w:rsidRPr="002215D3" w:rsidRDefault="002215D3" w:rsidP="002215D3">
      <w:pPr>
        <w:tabs>
          <w:tab w:val="left" w:pos="2040"/>
        </w:tabs>
        <w:jc w:val="both"/>
        <w:rPr>
          <w:rFonts w:asciiTheme="minorBidi" w:hAnsiTheme="minorBidi" w:cstheme="minorBidi"/>
          <w:sz w:val="21"/>
          <w:szCs w:val="21"/>
          <w:lang w:val="en"/>
        </w:rPr>
      </w:pPr>
    </w:p>
    <w:tbl>
      <w:tblPr>
        <w:tblW w:w="0" w:type="auto"/>
        <w:tblInd w:w="90" w:type="dxa"/>
        <w:tblLayout w:type="fixed"/>
        <w:tblLook w:val="04A0" w:firstRow="1" w:lastRow="0" w:firstColumn="1" w:lastColumn="0" w:noHBand="0" w:noVBand="1"/>
      </w:tblPr>
      <w:tblGrid>
        <w:gridCol w:w="2145"/>
        <w:gridCol w:w="7095"/>
      </w:tblGrid>
      <w:tr w:rsidR="002215D3" w:rsidRPr="002215D3" w14:paraId="66628664" w14:textId="77777777" w:rsidTr="00F15946">
        <w:trPr>
          <w:trHeight w:val="870"/>
        </w:trPr>
        <w:tc>
          <w:tcPr>
            <w:tcW w:w="2145" w:type="dxa"/>
            <w:tcMar>
              <w:left w:w="108" w:type="dxa"/>
              <w:right w:w="108" w:type="dxa"/>
            </w:tcMar>
          </w:tcPr>
          <w:p w14:paraId="515C5C69" w14:textId="77777777" w:rsidR="002215D3" w:rsidRPr="002215D3" w:rsidRDefault="002215D3" w:rsidP="00F15946">
            <w:pPr>
              <w:spacing w:before="80" w:after="80"/>
              <w:rPr>
                <w:rFonts w:asciiTheme="minorBidi" w:hAnsiTheme="minorBidi" w:cstheme="minorBidi"/>
                <w:sz w:val="21"/>
                <w:szCs w:val="21"/>
              </w:rPr>
            </w:pPr>
            <w:r w:rsidRPr="002215D3">
              <w:rPr>
                <w:rFonts w:asciiTheme="minorBidi" w:hAnsiTheme="minorBidi" w:cstheme="minorBidi"/>
                <w:b/>
                <w:bCs/>
                <w:i/>
                <w:iCs/>
                <w:sz w:val="21"/>
                <w:szCs w:val="21"/>
              </w:rPr>
              <w:t>Strategic Thinking</w:t>
            </w:r>
            <w:r w:rsidRPr="002215D3">
              <w:rPr>
                <w:rFonts w:asciiTheme="minorBidi" w:hAnsiTheme="minorBidi" w:cstheme="minorBidi"/>
                <w:sz w:val="21"/>
                <w:szCs w:val="21"/>
              </w:rPr>
              <w:t xml:space="preserve"> </w:t>
            </w:r>
          </w:p>
        </w:tc>
        <w:tc>
          <w:tcPr>
            <w:tcW w:w="7095" w:type="dxa"/>
            <w:tcMar>
              <w:left w:w="108" w:type="dxa"/>
              <w:right w:w="108" w:type="dxa"/>
            </w:tcMar>
          </w:tcPr>
          <w:p w14:paraId="5F51F64B" w14:textId="77777777" w:rsidR="002215D3" w:rsidRPr="002215D3" w:rsidRDefault="002215D3" w:rsidP="00F15946">
            <w:pPr>
              <w:spacing w:before="80" w:after="80"/>
              <w:jc w:val="both"/>
              <w:rPr>
                <w:rFonts w:asciiTheme="minorBidi" w:hAnsiTheme="minorBidi" w:cstheme="minorBidi"/>
                <w:sz w:val="21"/>
                <w:szCs w:val="21"/>
              </w:rPr>
            </w:pPr>
            <w:r w:rsidRPr="002215D3">
              <w:rPr>
                <w:rFonts w:asciiTheme="minorBidi" w:hAnsiTheme="minorBidi" w:cstheme="minorBidi"/>
                <w:sz w:val="21"/>
                <w:szCs w:val="21"/>
              </w:rPr>
              <w:t xml:space="preserve">Ability to align sustainability initiatives with broader financial goals and corporate strategy </w:t>
            </w:r>
          </w:p>
        </w:tc>
      </w:tr>
      <w:tr w:rsidR="002215D3" w:rsidRPr="002215D3" w14:paraId="449113DE" w14:textId="77777777" w:rsidTr="00F15946">
        <w:trPr>
          <w:trHeight w:val="1020"/>
        </w:trPr>
        <w:tc>
          <w:tcPr>
            <w:tcW w:w="2145" w:type="dxa"/>
            <w:tcMar>
              <w:left w:w="108" w:type="dxa"/>
              <w:right w:w="108" w:type="dxa"/>
            </w:tcMar>
          </w:tcPr>
          <w:p w14:paraId="6CCAA0CA" w14:textId="77777777" w:rsidR="002215D3" w:rsidRPr="002215D3" w:rsidRDefault="002215D3" w:rsidP="00F15946">
            <w:pPr>
              <w:spacing w:before="80" w:after="80"/>
              <w:rPr>
                <w:rFonts w:asciiTheme="minorBidi" w:hAnsiTheme="minorBidi" w:cstheme="minorBidi"/>
                <w:sz w:val="21"/>
                <w:szCs w:val="21"/>
              </w:rPr>
            </w:pPr>
            <w:r w:rsidRPr="002215D3">
              <w:rPr>
                <w:rFonts w:asciiTheme="minorBidi" w:hAnsiTheme="minorBidi" w:cstheme="minorBidi"/>
                <w:b/>
                <w:bCs/>
                <w:i/>
                <w:iCs/>
                <w:sz w:val="21"/>
                <w:szCs w:val="21"/>
              </w:rPr>
              <w:t>Attention to Detail</w:t>
            </w:r>
            <w:r w:rsidRPr="002215D3">
              <w:rPr>
                <w:rFonts w:asciiTheme="minorBidi" w:hAnsiTheme="minorBidi" w:cstheme="minorBidi"/>
                <w:sz w:val="21"/>
                <w:szCs w:val="21"/>
              </w:rPr>
              <w:t xml:space="preserve"> </w:t>
            </w:r>
          </w:p>
        </w:tc>
        <w:tc>
          <w:tcPr>
            <w:tcW w:w="7095" w:type="dxa"/>
            <w:tcMar>
              <w:left w:w="108" w:type="dxa"/>
              <w:right w:w="108" w:type="dxa"/>
            </w:tcMar>
          </w:tcPr>
          <w:p w14:paraId="348745E4" w14:textId="77777777" w:rsidR="002215D3" w:rsidRPr="002215D3" w:rsidRDefault="002215D3" w:rsidP="00F15946">
            <w:pPr>
              <w:spacing w:before="80" w:after="80"/>
              <w:jc w:val="both"/>
              <w:rPr>
                <w:rFonts w:asciiTheme="minorBidi" w:hAnsiTheme="minorBidi" w:cstheme="minorBidi"/>
                <w:sz w:val="21"/>
                <w:szCs w:val="21"/>
              </w:rPr>
            </w:pPr>
            <w:r w:rsidRPr="002215D3">
              <w:rPr>
                <w:rFonts w:asciiTheme="minorBidi" w:hAnsiTheme="minorBidi" w:cstheme="minorBidi"/>
                <w:sz w:val="21"/>
                <w:szCs w:val="21"/>
              </w:rPr>
              <w:t xml:space="preserve">Ensures high levels of accuracy in financial reporting, financial models and compliance with accounting standards. </w:t>
            </w:r>
          </w:p>
        </w:tc>
      </w:tr>
      <w:tr w:rsidR="002215D3" w:rsidRPr="002215D3" w14:paraId="16B9BB14" w14:textId="77777777" w:rsidTr="00F15946">
        <w:trPr>
          <w:trHeight w:val="1020"/>
        </w:trPr>
        <w:tc>
          <w:tcPr>
            <w:tcW w:w="2145" w:type="dxa"/>
            <w:tcMar>
              <w:left w:w="108" w:type="dxa"/>
              <w:right w:w="108" w:type="dxa"/>
            </w:tcMar>
          </w:tcPr>
          <w:p w14:paraId="0CB415E6" w14:textId="77777777" w:rsidR="002215D3" w:rsidRPr="002215D3" w:rsidRDefault="002215D3" w:rsidP="00F15946">
            <w:pPr>
              <w:spacing w:before="80" w:after="80"/>
              <w:rPr>
                <w:rFonts w:asciiTheme="minorBidi" w:hAnsiTheme="minorBidi" w:cstheme="minorBidi"/>
                <w:sz w:val="21"/>
                <w:szCs w:val="21"/>
              </w:rPr>
            </w:pPr>
            <w:r w:rsidRPr="002215D3">
              <w:rPr>
                <w:rFonts w:asciiTheme="minorBidi" w:hAnsiTheme="minorBidi" w:cstheme="minorBidi"/>
                <w:b/>
                <w:bCs/>
                <w:i/>
                <w:iCs/>
                <w:sz w:val="21"/>
                <w:szCs w:val="21"/>
              </w:rPr>
              <w:t>Collaboration</w:t>
            </w:r>
            <w:r w:rsidRPr="002215D3">
              <w:rPr>
                <w:rFonts w:asciiTheme="minorBidi" w:hAnsiTheme="minorBidi" w:cstheme="minorBidi"/>
                <w:sz w:val="21"/>
                <w:szCs w:val="21"/>
              </w:rPr>
              <w:t xml:space="preserve"> </w:t>
            </w:r>
          </w:p>
        </w:tc>
        <w:tc>
          <w:tcPr>
            <w:tcW w:w="7095" w:type="dxa"/>
            <w:tcMar>
              <w:left w:w="108" w:type="dxa"/>
              <w:right w:w="108" w:type="dxa"/>
            </w:tcMar>
          </w:tcPr>
          <w:p w14:paraId="73B8E1C2" w14:textId="77777777" w:rsidR="002215D3" w:rsidRPr="002215D3" w:rsidRDefault="002215D3" w:rsidP="00F15946">
            <w:pPr>
              <w:spacing w:before="80" w:after="80"/>
              <w:jc w:val="both"/>
              <w:rPr>
                <w:rFonts w:asciiTheme="minorBidi" w:hAnsiTheme="minorBidi" w:cstheme="minorBidi"/>
                <w:sz w:val="21"/>
                <w:szCs w:val="21"/>
              </w:rPr>
            </w:pPr>
            <w:r w:rsidRPr="002215D3">
              <w:rPr>
                <w:rFonts w:asciiTheme="minorBidi" w:hAnsiTheme="minorBidi" w:cstheme="minorBidi"/>
                <w:sz w:val="21"/>
                <w:szCs w:val="21"/>
              </w:rPr>
              <w:t xml:space="preserve">Works effectively across departments to deliver integrated sustainability reporting, gather necessary data for financial analysis and provide financial expertise to support strategic decision-making. </w:t>
            </w:r>
          </w:p>
        </w:tc>
      </w:tr>
      <w:tr w:rsidR="002215D3" w:rsidRPr="002215D3" w14:paraId="3B7E1263" w14:textId="77777777" w:rsidTr="00F15946">
        <w:trPr>
          <w:trHeight w:val="885"/>
        </w:trPr>
        <w:tc>
          <w:tcPr>
            <w:tcW w:w="2145" w:type="dxa"/>
            <w:tcMar>
              <w:left w:w="108" w:type="dxa"/>
              <w:right w:w="108" w:type="dxa"/>
            </w:tcMar>
          </w:tcPr>
          <w:p w14:paraId="6E4A9B72" w14:textId="77777777" w:rsidR="002215D3" w:rsidRPr="002215D3" w:rsidRDefault="002215D3" w:rsidP="00F15946">
            <w:pPr>
              <w:spacing w:before="80" w:after="80"/>
              <w:rPr>
                <w:rFonts w:asciiTheme="minorBidi" w:hAnsiTheme="minorBidi" w:cstheme="minorBidi"/>
                <w:sz w:val="21"/>
                <w:szCs w:val="21"/>
              </w:rPr>
            </w:pPr>
            <w:r w:rsidRPr="002215D3">
              <w:rPr>
                <w:rFonts w:asciiTheme="minorBidi" w:hAnsiTheme="minorBidi" w:cstheme="minorBidi"/>
                <w:b/>
                <w:bCs/>
                <w:i/>
                <w:iCs/>
                <w:sz w:val="21"/>
                <w:szCs w:val="21"/>
              </w:rPr>
              <w:t>Leadership</w:t>
            </w:r>
            <w:r w:rsidRPr="002215D3">
              <w:rPr>
                <w:rFonts w:asciiTheme="minorBidi" w:hAnsiTheme="minorBidi" w:cstheme="minorBidi"/>
                <w:sz w:val="21"/>
                <w:szCs w:val="21"/>
              </w:rPr>
              <w:t xml:space="preserve"> </w:t>
            </w:r>
          </w:p>
        </w:tc>
        <w:tc>
          <w:tcPr>
            <w:tcW w:w="7095" w:type="dxa"/>
            <w:tcMar>
              <w:left w:w="108" w:type="dxa"/>
              <w:right w:w="108" w:type="dxa"/>
            </w:tcMar>
          </w:tcPr>
          <w:p w14:paraId="3F3A528F" w14:textId="77777777" w:rsidR="002215D3" w:rsidRPr="002215D3" w:rsidRDefault="002215D3" w:rsidP="00F15946">
            <w:pPr>
              <w:spacing w:before="80" w:after="80"/>
              <w:rPr>
                <w:rFonts w:asciiTheme="minorBidi" w:hAnsiTheme="minorBidi" w:cstheme="minorBidi"/>
                <w:sz w:val="21"/>
                <w:szCs w:val="21"/>
              </w:rPr>
            </w:pPr>
            <w:r w:rsidRPr="002215D3">
              <w:rPr>
                <w:rFonts w:asciiTheme="minorBidi" w:hAnsiTheme="minorBidi" w:cstheme="minorBidi"/>
                <w:sz w:val="21"/>
                <w:szCs w:val="21"/>
              </w:rPr>
              <w:t xml:space="preserve">Provides guidance and mentorship to finance staff on sustainability reporting, integration and technical guidance. </w:t>
            </w:r>
          </w:p>
        </w:tc>
      </w:tr>
      <w:tr w:rsidR="002215D3" w:rsidRPr="002215D3" w14:paraId="3969E63E" w14:textId="77777777" w:rsidTr="00F15946">
        <w:trPr>
          <w:trHeight w:val="1020"/>
        </w:trPr>
        <w:tc>
          <w:tcPr>
            <w:tcW w:w="2145" w:type="dxa"/>
            <w:tcMar>
              <w:left w:w="108" w:type="dxa"/>
              <w:right w:w="108" w:type="dxa"/>
            </w:tcMar>
          </w:tcPr>
          <w:p w14:paraId="6E944304" w14:textId="77777777" w:rsidR="002215D3" w:rsidRPr="002215D3" w:rsidRDefault="002215D3" w:rsidP="00F15946">
            <w:pPr>
              <w:spacing w:before="80" w:after="80"/>
              <w:rPr>
                <w:rFonts w:asciiTheme="minorBidi" w:hAnsiTheme="minorBidi" w:cstheme="minorBidi"/>
                <w:sz w:val="21"/>
                <w:szCs w:val="21"/>
              </w:rPr>
            </w:pPr>
            <w:r w:rsidRPr="002215D3">
              <w:rPr>
                <w:rFonts w:asciiTheme="minorBidi" w:hAnsiTheme="minorBidi" w:cstheme="minorBidi"/>
                <w:b/>
                <w:bCs/>
                <w:i/>
                <w:iCs/>
                <w:sz w:val="21"/>
                <w:szCs w:val="21"/>
              </w:rPr>
              <w:t>Technical Proficiency</w:t>
            </w:r>
            <w:r w:rsidRPr="002215D3">
              <w:rPr>
                <w:rFonts w:asciiTheme="minorBidi" w:hAnsiTheme="minorBidi" w:cstheme="minorBidi"/>
                <w:sz w:val="21"/>
                <w:szCs w:val="21"/>
              </w:rPr>
              <w:t xml:space="preserve"> </w:t>
            </w:r>
          </w:p>
        </w:tc>
        <w:tc>
          <w:tcPr>
            <w:tcW w:w="7095" w:type="dxa"/>
            <w:tcMar>
              <w:left w:w="108" w:type="dxa"/>
              <w:right w:w="108" w:type="dxa"/>
            </w:tcMar>
          </w:tcPr>
          <w:p w14:paraId="48DBF59A" w14:textId="77777777" w:rsidR="002215D3" w:rsidRPr="002215D3" w:rsidRDefault="002215D3" w:rsidP="00F15946">
            <w:pPr>
              <w:spacing w:before="80" w:after="80"/>
              <w:jc w:val="both"/>
              <w:rPr>
                <w:rFonts w:asciiTheme="minorBidi" w:hAnsiTheme="minorBidi" w:cstheme="minorBidi"/>
                <w:sz w:val="21"/>
                <w:szCs w:val="21"/>
              </w:rPr>
            </w:pPr>
            <w:r w:rsidRPr="002215D3">
              <w:rPr>
                <w:rFonts w:asciiTheme="minorBidi" w:hAnsiTheme="minorBidi" w:cstheme="minorBidi"/>
                <w:sz w:val="21"/>
                <w:szCs w:val="21"/>
              </w:rPr>
              <w:t xml:space="preserve">Deep understanding of accounting standards and their practical application to financial reporting. </w:t>
            </w:r>
          </w:p>
        </w:tc>
      </w:tr>
      <w:tr w:rsidR="002215D3" w:rsidRPr="002215D3" w14:paraId="7B7B3668" w14:textId="77777777" w:rsidTr="00F15946">
        <w:trPr>
          <w:trHeight w:val="270"/>
        </w:trPr>
        <w:tc>
          <w:tcPr>
            <w:tcW w:w="2145" w:type="dxa"/>
            <w:tcMar>
              <w:left w:w="108" w:type="dxa"/>
              <w:right w:w="108" w:type="dxa"/>
            </w:tcMar>
          </w:tcPr>
          <w:p w14:paraId="7B1045B2" w14:textId="77777777" w:rsidR="002215D3" w:rsidRDefault="002215D3" w:rsidP="00F15946">
            <w:pPr>
              <w:spacing w:before="80" w:after="80"/>
              <w:rPr>
                <w:rFonts w:asciiTheme="minorBidi" w:hAnsiTheme="minorBidi" w:cstheme="minorBidi"/>
                <w:sz w:val="21"/>
                <w:szCs w:val="21"/>
              </w:rPr>
            </w:pPr>
          </w:p>
          <w:p w14:paraId="2EB2B570" w14:textId="77777777" w:rsidR="00742550" w:rsidRPr="002215D3" w:rsidRDefault="00742550" w:rsidP="00F15946">
            <w:pPr>
              <w:spacing w:before="80" w:after="80"/>
              <w:rPr>
                <w:rFonts w:asciiTheme="minorBidi" w:hAnsiTheme="minorBidi" w:cstheme="minorBidi"/>
                <w:sz w:val="21"/>
                <w:szCs w:val="21"/>
              </w:rPr>
            </w:pPr>
          </w:p>
        </w:tc>
        <w:tc>
          <w:tcPr>
            <w:tcW w:w="7095" w:type="dxa"/>
            <w:tcMar>
              <w:left w:w="108" w:type="dxa"/>
              <w:right w:w="108" w:type="dxa"/>
            </w:tcMar>
          </w:tcPr>
          <w:p w14:paraId="18E74628" w14:textId="77777777" w:rsidR="002215D3" w:rsidRPr="002215D3" w:rsidRDefault="002215D3" w:rsidP="00F15946">
            <w:pPr>
              <w:spacing w:before="80" w:after="80"/>
              <w:jc w:val="both"/>
              <w:rPr>
                <w:rFonts w:asciiTheme="minorBidi" w:hAnsiTheme="minorBidi" w:cstheme="minorBidi"/>
                <w:sz w:val="21"/>
                <w:szCs w:val="21"/>
              </w:rPr>
            </w:pPr>
          </w:p>
        </w:tc>
      </w:tr>
    </w:tbl>
    <w:p w14:paraId="2C6609A7" w14:textId="77777777" w:rsidR="002215D3" w:rsidRDefault="002215D3" w:rsidP="002215D3">
      <w:pPr>
        <w:spacing w:line="259" w:lineRule="auto"/>
        <w:rPr>
          <w:rFonts w:asciiTheme="minorBidi" w:hAnsiTheme="minorBidi" w:cstheme="minorBidi"/>
          <w:b/>
          <w:bCs/>
          <w:sz w:val="21"/>
          <w:szCs w:val="21"/>
        </w:rPr>
      </w:pPr>
    </w:p>
    <w:p w14:paraId="40E337BB" w14:textId="1B01BAC0" w:rsidR="002215D3" w:rsidRPr="002215D3" w:rsidRDefault="002215D3" w:rsidP="002215D3">
      <w:pPr>
        <w:spacing w:line="259" w:lineRule="auto"/>
        <w:rPr>
          <w:rFonts w:asciiTheme="minorBidi" w:hAnsiTheme="minorBidi" w:cstheme="minorBidi"/>
          <w:sz w:val="21"/>
          <w:szCs w:val="21"/>
        </w:rPr>
      </w:pPr>
      <w:r w:rsidRPr="002215D3">
        <w:rPr>
          <w:rFonts w:asciiTheme="minorBidi" w:hAnsiTheme="minorBidi" w:cstheme="minorBidi"/>
          <w:b/>
          <w:bCs/>
          <w:sz w:val="21"/>
          <w:szCs w:val="21"/>
        </w:rPr>
        <w:t xml:space="preserve">Decision making </w:t>
      </w:r>
    </w:p>
    <w:p w14:paraId="67DDD5D3" w14:textId="77777777" w:rsidR="002215D3" w:rsidRPr="002215D3" w:rsidRDefault="002215D3" w:rsidP="002215D3">
      <w:pPr>
        <w:pStyle w:val="ListParagraph"/>
        <w:widowControl/>
        <w:numPr>
          <w:ilvl w:val="0"/>
          <w:numId w:val="1"/>
        </w:numPr>
        <w:autoSpaceDE/>
        <w:autoSpaceDN/>
        <w:contextualSpacing/>
        <w:jc w:val="both"/>
        <w:rPr>
          <w:rFonts w:asciiTheme="minorBidi" w:hAnsiTheme="minorBidi" w:cstheme="minorBidi"/>
          <w:sz w:val="21"/>
          <w:szCs w:val="21"/>
        </w:rPr>
      </w:pPr>
      <w:r w:rsidRPr="002215D3">
        <w:rPr>
          <w:rFonts w:asciiTheme="minorBidi" w:hAnsiTheme="minorBidi" w:cstheme="minorBidi"/>
          <w:sz w:val="21"/>
          <w:szCs w:val="21"/>
        </w:rPr>
        <w:t>The general delegation and financial authority commitment threshold for this role is $20,000.</w:t>
      </w:r>
    </w:p>
    <w:p w14:paraId="4460F823" w14:textId="77777777" w:rsidR="002215D3" w:rsidRPr="002215D3" w:rsidRDefault="002215D3" w:rsidP="002215D3">
      <w:pPr>
        <w:rPr>
          <w:rFonts w:asciiTheme="minorBidi" w:hAnsiTheme="minorBidi" w:cstheme="minorBidi"/>
          <w:sz w:val="21"/>
          <w:szCs w:val="21"/>
        </w:rPr>
      </w:pPr>
    </w:p>
    <w:p w14:paraId="7BA86A71" w14:textId="77777777" w:rsidR="00742550" w:rsidRDefault="00742550" w:rsidP="002215D3">
      <w:pPr>
        <w:spacing w:line="259" w:lineRule="auto"/>
        <w:rPr>
          <w:rFonts w:asciiTheme="minorBidi" w:hAnsiTheme="minorBidi" w:cstheme="minorBidi"/>
          <w:b/>
          <w:bCs/>
          <w:sz w:val="21"/>
          <w:szCs w:val="21"/>
        </w:rPr>
      </w:pPr>
    </w:p>
    <w:p w14:paraId="571C338D" w14:textId="3A4ECA01" w:rsidR="002215D3" w:rsidRPr="002215D3" w:rsidRDefault="002215D3" w:rsidP="002215D3">
      <w:pPr>
        <w:spacing w:line="259" w:lineRule="auto"/>
        <w:rPr>
          <w:rFonts w:asciiTheme="minorBidi" w:hAnsiTheme="minorBidi" w:cstheme="minorBidi"/>
          <w:b/>
          <w:bCs/>
          <w:sz w:val="21"/>
          <w:szCs w:val="21"/>
        </w:rPr>
      </w:pPr>
      <w:r w:rsidRPr="002215D3">
        <w:rPr>
          <w:rFonts w:asciiTheme="minorBidi" w:hAnsiTheme="minorBidi" w:cstheme="minorBidi"/>
          <w:b/>
          <w:bCs/>
          <w:sz w:val="21"/>
          <w:szCs w:val="21"/>
        </w:rPr>
        <w:t>Team Structure</w:t>
      </w:r>
    </w:p>
    <w:p w14:paraId="6FF28415" w14:textId="77777777" w:rsidR="002215D3" w:rsidRDefault="002215D3" w:rsidP="002215D3">
      <w:pPr>
        <w:tabs>
          <w:tab w:val="left" w:pos="2040"/>
        </w:tabs>
        <w:jc w:val="both"/>
      </w:pPr>
    </w:p>
    <w:p w14:paraId="45C20DFE" w14:textId="77777777" w:rsidR="002215D3" w:rsidRDefault="002215D3" w:rsidP="002215D3">
      <w:pPr>
        <w:tabs>
          <w:tab w:val="left" w:pos="2040"/>
        </w:tabs>
        <w:jc w:val="both"/>
      </w:pPr>
      <w:r w:rsidRPr="0084708A">
        <w:rPr>
          <w:noProof/>
          <w:sz w:val="20"/>
        </w:rPr>
        <w:drawing>
          <wp:anchor distT="0" distB="0" distL="114300" distR="114300" simplePos="0" relativeHeight="251659264" behindDoc="1" locked="0" layoutInCell="1" allowOverlap="1" wp14:anchorId="318CE3DB" wp14:editId="7B8B34A3">
            <wp:simplePos x="0" y="0"/>
            <wp:positionH relativeFrom="margin">
              <wp:align>right</wp:align>
            </wp:positionH>
            <wp:positionV relativeFrom="paragraph">
              <wp:posOffset>119380</wp:posOffset>
            </wp:positionV>
            <wp:extent cx="5124450" cy="4962525"/>
            <wp:effectExtent l="0" t="0" r="0" b="0"/>
            <wp:wrapNone/>
            <wp:docPr id="2"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409FA68F" w14:textId="77777777" w:rsidR="002215D3" w:rsidRDefault="002215D3" w:rsidP="002215D3">
      <w:pPr>
        <w:tabs>
          <w:tab w:val="left" w:pos="2445"/>
        </w:tabs>
        <w:jc w:val="both"/>
      </w:pPr>
      <w:r w:rsidRPr="5FCC1823">
        <w:rPr>
          <w:sz w:val="21"/>
          <w:szCs w:val="21"/>
        </w:rPr>
        <w:t xml:space="preserve"> </w:t>
      </w:r>
      <w:r>
        <w:rPr>
          <w:sz w:val="21"/>
          <w:szCs w:val="21"/>
        </w:rPr>
        <w:tab/>
      </w:r>
    </w:p>
    <w:p w14:paraId="47C59B42" w14:textId="77777777" w:rsidR="002215D3" w:rsidRDefault="002215D3" w:rsidP="002215D3">
      <w:pPr>
        <w:tabs>
          <w:tab w:val="left" w:pos="2445"/>
          <w:tab w:val="left" w:pos="3396"/>
        </w:tabs>
        <w:jc w:val="both"/>
      </w:pPr>
      <w:r w:rsidRPr="5FCC1823">
        <w:rPr>
          <w:i/>
          <w:iCs/>
          <w:sz w:val="21"/>
          <w:szCs w:val="21"/>
        </w:rPr>
        <w:t xml:space="preserve"> </w:t>
      </w:r>
      <w:r>
        <w:rPr>
          <w:i/>
          <w:iCs/>
          <w:sz w:val="21"/>
          <w:szCs w:val="21"/>
        </w:rPr>
        <w:tab/>
      </w:r>
      <w:r>
        <w:rPr>
          <w:i/>
          <w:iCs/>
          <w:sz w:val="21"/>
          <w:szCs w:val="21"/>
        </w:rPr>
        <w:tab/>
      </w:r>
    </w:p>
    <w:p w14:paraId="02E20E9E" w14:textId="77777777" w:rsidR="002215D3" w:rsidRDefault="002215D3" w:rsidP="002215D3">
      <w:pPr>
        <w:tabs>
          <w:tab w:val="left" w:pos="7845"/>
        </w:tabs>
        <w:jc w:val="both"/>
      </w:pPr>
      <w:r w:rsidRPr="5FCC1823">
        <w:rPr>
          <w:i/>
          <w:iCs/>
          <w:sz w:val="21"/>
          <w:szCs w:val="21"/>
        </w:rPr>
        <w:t xml:space="preserve"> </w:t>
      </w:r>
    </w:p>
    <w:p w14:paraId="35577C7F" w14:textId="77777777" w:rsidR="002215D3" w:rsidRDefault="002215D3" w:rsidP="002215D3">
      <w:pPr>
        <w:tabs>
          <w:tab w:val="left" w:pos="7845"/>
        </w:tabs>
        <w:jc w:val="both"/>
      </w:pPr>
      <w:r w:rsidRPr="5FCC1823">
        <w:rPr>
          <w:i/>
          <w:iCs/>
          <w:sz w:val="21"/>
          <w:szCs w:val="21"/>
        </w:rPr>
        <w:t xml:space="preserve"> </w:t>
      </w:r>
    </w:p>
    <w:p w14:paraId="784FD759" w14:textId="77777777" w:rsidR="002215D3" w:rsidRDefault="002215D3" w:rsidP="002215D3">
      <w:pPr>
        <w:tabs>
          <w:tab w:val="left" w:pos="7845"/>
        </w:tabs>
        <w:jc w:val="both"/>
      </w:pPr>
      <w:r w:rsidRPr="5FCC1823">
        <w:rPr>
          <w:i/>
          <w:iCs/>
          <w:sz w:val="21"/>
          <w:szCs w:val="21"/>
        </w:rPr>
        <w:t xml:space="preserve"> </w:t>
      </w:r>
    </w:p>
    <w:p w14:paraId="2A055F8E" w14:textId="77777777" w:rsidR="002215D3" w:rsidRDefault="002215D3" w:rsidP="002215D3">
      <w:pPr>
        <w:tabs>
          <w:tab w:val="left" w:pos="7845"/>
        </w:tabs>
        <w:jc w:val="both"/>
        <w:rPr>
          <w:i/>
          <w:iCs/>
          <w:sz w:val="21"/>
          <w:szCs w:val="21"/>
        </w:rPr>
      </w:pPr>
    </w:p>
    <w:p w14:paraId="2B2F858E" w14:textId="77777777" w:rsidR="002215D3" w:rsidRDefault="002215D3" w:rsidP="002215D3">
      <w:pPr>
        <w:tabs>
          <w:tab w:val="left" w:pos="7845"/>
        </w:tabs>
        <w:jc w:val="both"/>
        <w:rPr>
          <w:i/>
          <w:iCs/>
          <w:sz w:val="21"/>
          <w:szCs w:val="21"/>
        </w:rPr>
      </w:pPr>
    </w:p>
    <w:p w14:paraId="5923708D" w14:textId="77777777" w:rsidR="002215D3" w:rsidRDefault="002215D3" w:rsidP="002215D3">
      <w:pPr>
        <w:tabs>
          <w:tab w:val="left" w:pos="7845"/>
        </w:tabs>
        <w:jc w:val="both"/>
        <w:rPr>
          <w:i/>
          <w:iCs/>
          <w:sz w:val="21"/>
          <w:szCs w:val="21"/>
        </w:rPr>
      </w:pPr>
    </w:p>
    <w:p w14:paraId="3FA1B481" w14:textId="77777777" w:rsidR="002215D3" w:rsidRDefault="002215D3" w:rsidP="002215D3">
      <w:pPr>
        <w:tabs>
          <w:tab w:val="left" w:pos="7845"/>
        </w:tabs>
        <w:jc w:val="both"/>
        <w:rPr>
          <w:i/>
          <w:iCs/>
          <w:sz w:val="21"/>
          <w:szCs w:val="21"/>
        </w:rPr>
      </w:pPr>
    </w:p>
    <w:p w14:paraId="39968631" w14:textId="77777777" w:rsidR="002215D3" w:rsidRDefault="002215D3" w:rsidP="002215D3">
      <w:pPr>
        <w:tabs>
          <w:tab w:val="left" w:pos="7845"/>
        </w:tabs>
        <w:jc w:val="both"/>
        <w:rPr>
          <w:i/>
          <w:iCs/>
          <w:sz w:val="21"/>
          <w:szCs w:val="21"/>
        </w:rPr>
      </w:pPr>
    </w:p>
    <w:p w14:paraId="5EA6CAA9" w14:textId="77777777" w:rsidR="002215D3" w:rsidRDefault="002215D3" w:rsidP="002215D3">
      <w:pPr>
        <w:tabs>
          <w:tab w:val="left" w:pos="7845"/>
        </w:tabs>
        <w:jc w:val="both"/>
        <w:rPr>
          <w:i/>
          <w:iCs/>
          <w:sz w:val="21"/>
          <w:szCs w:val="21"/>
        </w:rPr>
      </w:pPr>
    </w:p>
    <w:p w14:paraId="3FB98C76" w14:textId="77777777" w:rsidR="002215D3" w:rsidRDefault="002215D3" w:rsidP="002215D3">
      <w:pPr>
        <w:tabs>
          <w:tab w:val="left" w:pos="7845"/>
        </w:tabs>
        <w:jc w:val="both"/>
        <w:rPr>
          <w:i/>
          <w:iCs/>
          <w:sz w:val="21"/>
          <w:szCs w:val="21"/>
        </w:rPr>
      </w:pPr>
    </w:p>
    <w:p w14:paraId="4C4E6741" w14:textId="77777777" w:rsidR="002215D3" w:rsidRDefault="002215D3" w:rsidP="002215D3">
      <w:pPr>
        <w:tabs>
          <w:tab w:val="left" w:pos="7845"/>
        </w:tabs>
        <w:jc w:val="both"/>
        <w:rPr>
          <w:i/>
          <w:iCs/>
          <w:sz w:val="21"/>
          <w:szCs w:val="21"/>
        </w:rPr>
      </w:pPr>
    </w:p>
    <w:p w14:paraId="76DC0107" w14:textId="77777777" w:rsidR="002215D3" w:rsidRDefault="002215D3" w:rsidP="002215D3">
      <w:pPr>
        <w:tabs>
          <w:tab w:val="left" w:pos="3503"/>
        </w:tabs>
        <w:jc w:val="both"/>
        <w:rPr>
          <w:i/>
          <w:iCs/>
          <w:sz w:val="21"/>
          <w:szCs w:val="21"/>
        </w:rPr>
      </w:pPr>
      <w:r>
        <w:rPr>
          <w:i/>
          <w:iCs/>
          <w:sz w:val="21"/>
          <w:szCs w:val="21"/>
        </w:rPr>
        <w:tab/>
      </w:r>
    </w:p>
    <w:p w14:paraId="71205044" w14:textId="77777777" w:rsidR="002215D3" w:rsidRDefault="002215D3" w:rsidP="002215D3">
      <w:pPr>
        <w:tabs>
          <w:tab w:val="left" w:pos="7845"/>
        </w:tabs>
        <w:jc w:val="both"/>
        <w:rPr>
          <w:i/>
          <w:iCs/>
          <w:sz w:val="21"/>
          <w:szCs w:val="21"/>
        </w:rPr>
      </w:pPr>
    </w:p>
    <w:p w14:paraId="7FB4421A" w14:textId="77777777" w:rsidR="002215D3" w:rsidRDefault="002215D3" w:rsidP="002215D3">
      <w:pPr>
        <w:tabs>
          <w:tab w:val="left" w:pos="7845"/>
        </w:tabs>
        <w:jc w:val="both"/>
        <w:rPr>
          <w:i/>
          <w:iCs/>
          <w:sz w:val="21"/>
          <w:szCs w:val="21"/>
        </w:rPr>
      </w:pPr>
    </w:p>
    <w:p w14:paraId="4158D3F6" w14:textId="77777777" w:rsidR="002215D3" w:rsidRDefault="002215D3" w:rsidP="002215D3">
      <w:pPr>
        <w:tabs>
          <w:tab w:val="left" w:pos="7845"/>
        </w:tabs>
        <w:jc w:val="both"/>
        <w:rPr>
          <w:i/>
          <w:iCs/>
          <w:sz w:val="21"/>
          <w:szCs w:val="21"/>
        </w:rPr>
      </w:pPr>
    </w:p>
    <w:p w14:paraId="07C8493B" w14:textId="77777777" w:rsidR="002215D3" w:rsidRDefault="002215D3" w:rsidP="002215D3">
      <w:pPr>
        <w:tabs>
          <w:tab w:val="left" w:pos="7845"/>
        </w:tabs>
        <w:jc w:val="both"/>
        <w:rPr>
          <w:i/>
          <w:iCs/>
          <w:sz w:val="21"/>
          <w:szCs w:val="21"/>
        </w:rPr>
      </w:pPr>
    </w:p>
    <w:p w14:paraId="29AE0D24" w14:textId="77777777" w:rsidR="002215D3" w:rsidRDefault="002215D3" w:rsidP="002215D3">
      <w:pPr>
        <w:tabs>
          <w:tab w:val="left" w:pos="7845"/>
        </w:tabs>
        <w:jc w:val="both"/>
        <w:rPr>
          <w:i/>
          <w:iCs/>
          <w:sz w:val="21"/>
          <w:szCs w:val="21"/>
        </w:rPr>
      </w:pPr>
    </w:p>
    <w:p w14:paraId="153AD41B" w14:textId="77777777" w:rsidR="002215D3" w:rsidRDefault="002215D3" w:rsidP="002215D3">
      <w:pPr>
        <w:tabs>
          <w:tab w:val="left" w:pos="7845"/>
        </w:tabs>
        <w:jc w:val="both"/>
        <w:rPr>
          <w:i/>
          <w:iCs/>
          <w:sz w:val="21"/>
          <w:szCs w:val="21"/>
        </w:rPr>
      </w:pPr>
    </w:p>
    <w:p w14:paraId="0CE7C1DD" w14:textId="77777777" w:rsidR="002215D3" w:rsidRDefault="002215D3" w:rsidP="002215D3">
      <w:pPr>
        <w:tabs>
          <w:tab w:val="left" w:pos="3955"/>
        </w:tabs>
        <w:jc w:val="both"/>
        <w:rPr>
          <w:i/>
          <w:iCs/>
          <w:sz w:val="21"/>
          <w:szCs w:val="21"/>
        </w:rPr>
      </w:pPr>
      <w:r>
        <w:rPr>
          <w:i/>
          <w:iCs/>
          <w:sz w:val="21"/>
          <w:szCs w:val="21"/>
        </w:rPr>
        <w:tab/>
      </w:r>
    </w:p>
    <w:p w14:paraId="3204FBA6" w14:textId="77777777" w:rsidR="002215D3" w:rsidRDefault="002215D3" w:rsidP="002215D3">
      <w:pPr>
        <w:tabs>
          <w:tab w:val="left" w:pos="3278"/>
          <w:tab w:val="left" w:pos="3955"/>
        </w:tabs>
        <w:jc w:val="both"/>
        <w:rPr>
          <w:i/>
          <w:iCs/>
          <w:sz w:val="21"/>
          <w:szCs w:val="21"/>
        </w:rPr>
      </w:pPr>
      <w:r>
        <w:rPr>
          <w:i/>
          <w:iCs/>
          <w:sz w:val="21"/>
          <w:szCs w:val="21"/>
        </w:rPr>
        <w:tab/>
      </w:r>
      <w:r>
        <w:rPr>
          <w:i/>
          <w:iCs/>
          <w:sz w:val="21"/>
          <w:szCs w:val="21"/>
        </w:rPr>
        <w:tab/>
      </w:r>
    </w:p>
    <w:p w14:paraId="0436EA46" w14:textId="77777777" w:rsidR="002215D3" w:rsidRDefault="002215D3" w:rsidP="002215D3">
      <w:pPr>
        <w:tabs>
          <w:tab w:val="left" w:pos="7845"/>
        </w:tabs>
        <w:jc w:val="both"/>
        <w:rPr>
          <w:i/>
          <w:iCs/>
          <w:sz w:val="21"/>
          <w:szCs w:val="21"/>
        </w:rPr>
      </w:pPr>
    </w:p>
    <w:p w14:paraId="49C6202C" w14:textId="77777777" w:rsidR="002215D3" w:rsidRDefault="002215D3" w:rsidP="002215D3">
      <w:pPr>
        <w:tabs>
          <w:tab w:val="left" w:pos="7845"/>
        </w:tabs>
        <w:jc w:val="both"/>
        <w:rPr>
          <w:i/>
          <w:iCs/>
          <w:sz w:val="21"/>
          <w:szCs w:val="21"/>
        </w:rPr>
      </w:pPr>
    </w:p>
    <w:p w14:paraId="50CD2049" w14:textId="77777777" w:rsidR="002215D3" w:rsidRDefault="002215D3" w:rsidP="002215D3">
      <w:pPr>
        <w:tabs>
          <w:tab w:val="left" w:pos="7845"/>
        </w:tabs>
        <w:jc w:val="both"/>
        <w:rPr>
          <w:i/>
          <w:iCs/>
          <w:sz w:val="21"/>
          <w:szCs w:val="21"/>
        </w:rPr>
      </w:pPr>
    </w:p>
    <w:p w14:paraId="685C645D" w14:textId="77777777" w:rsidR="002215D3" w:rsidRDefault="002215D3" w:rsidP="002215D3">
      <w:pPr>
        <w:tabs>
          <w:tab w:val="left" w:pos="7845"/>
        </w:tabs>
        <w:jc w:val="both"/>
        <w:rPr>
          <w:i/>
          <w:iCs/>
          <w:sz w:val="21"/>
          <w:szCs w:val="21"/>
        </w:rPr>
      </w:pPr>
    </w:p>
    <w:p w14:paraId="103F76FD" w14:textId="3B832771" w:rsidR="004F064A" w:rsidRDefault="002215D3" w:rsidP="002215D3">
      <w:pPr>
        <w:spacing w:line="249" w:lineRule="auto"/>
        <w:ind w:right="3"/>
        <w:rPr>
          <w:sz w:val="16"/>
        </w:rPr>
      </w:pPr>
      <w:r w:rsidRPr="5FCC1823">
        <w:rPr>
          <w:i/>
          <w:iCs/>
          <w:sz w:val="21"/>
          <w:szCs w:val="21"/>
        </w:rPr>
        <w:t>This position profile reflects a summary the role, it is not intended to be an all-inclusive list of duties and responsibilities. Leaders may direct employees to perform other duties</w:t>
      </w:r>
    </w:p>
    <w:p w14:paraId="6DC48B91" w14:textId="77777777" w:rsidR="004F064A" w:rsidRDefault="004F064A" w:rsidP="00FC6559">
      <w:pPr>
        <w:spacing w:line="249" w:lineRule="auto"/>
        <w:ind w:right="3"/>
        <w:rPr>
          <w:sz w:val="16"/>
        </w:rPr>
      </w:pPr>
    </w:p>
    <w:p w14:paraId="6008838B" w14:textId="77777777" w:rsidR="006F5677" w:rsidRDefault="006F5677" w:rsidP="00FC6559">
      <w:pPr>
        <w:spacing w:line="249" w:lineRule="auto"/>
        <w:ind w:right="3"/>
        <w:rPr>
          <w:sz w:val="16"/>
        </w:rPr>
      </w:pPr>
    </w:p>
    <w:p w14:paraId="1B432BA8" w14:textId="77777777" w:rsidR="006F5677" w:rsidRDefault="006F5677" w:rsidP="00FC6559">
      <w:pPr>
        <w:spacing w:line="249" w:lineRule="auto"/>
        <w:ind w:right="3"/>
        <w:rPr>
          <w:sz w:val="16"/>
        </w:rPr>
      </w:pPr>
    </w:p>
    <w:p w14:paraId="2F3BDABF" w14:textId="77777777" w:rsidR="006F5677" w:rsidRDefault="006F5677" w:rsidP="00FC6559">
      <w:pPr>
        <w:spacing w:line="249" w:lineRule="auto"/>
        <w:ind w:right="3"/>
        <w:rPr>
          <w:sz w:val="16"/>
        </w:rPr>
      </w:pPr>
    </w:p>
    <w:p w14:paraId="1B0EAC81" w14:textId="77777777" w:rsidR="006F5677" w:rsidRDefault="006F5677" w:rsidP="00FC6559">
      <w:pPr>
        <w:spacing w:line="249" w:lineRule="auto"/>
        <w:ind w:right="3"/>
        <w:rPr>
          <w:sz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9"/>
        <w:gridCol w:w="1211"/>
        <w:gridCol w:w="3846"/>
        <w:gridCol w:w="1627"/>
        <w:gridCol w:w="1593"/>
      </w:tblGrid>
      <w:tr w:rsidR="006F5677" w:rsidRPr="00235CDA" w14:paraId="1B73D4D3" w14:textId="77777777" w:rsidTr="002E3986">
        <w:tc>
          <w:tcPr>
            <w:tcW w:w="543" w:type="pct"/>
          </w:tcPr>
          <w:p w14:paraId="6DFB02D1" w14:textId="77777777" w:rsidR="006F5677" w:rsidRPr="00235CDA" w:rsidRDefault="006F5677" w:rsidP="002E3986">
            <w:pPr>
              <w:spacing w:before="40" w:after="40"/>
              <w:ind w:left="-57" w:right="-57"/>
              <w:jc w:val="center"/>
              <w:rPr>
                <w:b/>
                <w:sz w:val="18"/>
                <w:szCs w:val="20"/>
              </w:rPr>
            </w:pPr>
            <w:bookmarkStart w:id="0" w:name="_Hlk169608952"/>
            <w:r w:rsidRPr="00235CDA">
              <w:rPr>
                <w:b/>
                <w:sz w:val="18"/>
                <w:szCs w:val="20"/>
              </w:rPr>
              <w:t>Rev. No.</w:t>
            </w:r>
          </w:p>
        </w:tc>
        <w:tc>
          <w:tcPr>
            <w:tcW w:w="652" w:type="pct"/>
          </w:tcPr>
          <w:p w14:paraId="51A80948" w14:textId="77777777" w:rsidR="006F5677" w:rsidRPr="00235CDA" w:rsidRDefault="006F5677" w:rsidP="002E3986">
            <w:pPr>
              <w:spacing w:before="40" w:after="40"/>
              <w:ind w:left="-57" w:right="-57"/>
              <w:jc w:val="center"/>
              <w:rPr>
                <w:b/>
                <w:sz w:val="18"/>
                <w:szCs w:val="20"/>
              </w:rPr>
            </w:pPr>
            <w:r w:rsidRPr="00235CDA">
              <w:rPr>
                <w:b/>
                <w:sz w:val="18"/>
                <w:szCs w:val="20"/>
              </w:rPr>
              <w:t>Rev. Date</w:t>
            </w:r>
          </w:p>
        </w:tc>
        <w:tc>
          <w:tcPr>
            <w:tcW w:w="2071" w:type="pct"/>
          </w:tcPr>
          <w:p w14:paraId="3678E4A6" w14:textId="77777777" w:rsidR="006F5677" w:rsidRPr="00235CDA" w:rsidRDefault="006F5677" w:rsidP="002E3986">
            <w:pPr>
              <w:spacing w:before="40" w:after="40"/>
              <w:ind w:left="-57" w:right="-57"/>
              <w:jc w:val="center"/>
              <w:rPr>
                <w:b/>
                <w:sz w:val="18"/>
                <w:szCs w:val="20"/>
              </w:rPr>
            </w:pPr>
            <w:r w:rsidRPr="00235CDA">
              <w:rPr>
                <w:b/>
                <w:sz w:val="18"/>
                <w:szCs w:val="20"/>
              </w:rPr>
              <w:t>Revision Description</w:t>
            </w:r>
          </w:p>
        </w:tc>
        <w:tc>
          <w:tcPr>
            <w:tcW w:w="876" w:type="pct"/>
          </w:tcPr>
          <w:p w14:paraId="56E897CF" w14:textId="77777777" w:rsidR="006F5677" w:rsidRPr="00235CDA" w:rsidRDefault="006F5677" w:rsidP="002E3986">
            <w:pPr>
              <w:spacing w:before="40" w:after="40"/>
              <w:ind w:left="-57" w:right="-57"/>
              <w:jc w:val="center"/>
              <w:rPr>
                <w:b/>
                <w:sz w:val="18"/>
                <w:szCs w:val="20"/>
              </w:rPr>
            </w:pPr>
            <w:r>
              <w:rPr>
                <w:b/>
                <w:sz w:val="18"/>
                <w:szCs w:val="20"/>
              </w:rPr>
              <w:t>P&amp;C Rep</w:t>
            </w:r>
          </w:p>
        </w:tc>
        <w:tc>
          <w:tcPr>
            <w:tcW w:w="858" w:type="pct"/>
          </w:tcPr>
          <w:p w14:paraId="3414C26E" w14:textId="77777777" w:rsidR="006F5677" w:rsidRPr="00235CDA" w:rsidRDefault="006F5677" w:rsidP="002E3986">
            <w:pPr>
              <w:spacing w:before="40" w:after="40"/>
              <w:ind w:left="-57" w:right="-57"/>
              <w:jc w:val="center"/>
              <w:rPr>
                <w:b/>
                <w:sz w:val="18"/>
                <w:szCs w:val="20"/>
              </w:rPr>
            </w:pPr>
            <w:r>
              <w:rPr>
                <w:b/>
                <w:sz w:val="18"/>
                <w:szCs w:val="20"/>
              </w:rPr>
              <w:t>Leader</w:t>
            </w:r>
          </w:p>
        </w:tc>
      </w:tr>
      <w:tr w:rsidR="006F5677" w:rsidRPr="001A252A" w14:paraId="7AE82DAF" w14:textId="77777777" w:rsidTr="002E3986">
        <w:tc>
          <w:tcPr>
            <w:tcW w:w="543" w:type="pct"/>
          </w:tcPr>
          <w:p w14:paraId="45B8547B" w14:textId="77777777" w:rsidR="006F5677" w:rsidRPr="001A252A" w:rsidRDefault="006F5677" w:rsidP="002E3986">
            <w:pPr>
              <w:spacing w:before="40" w:after="40"/>
              <w:jc w:val="center"/>
              <w:rPr>
                <w:sz w:val="16"/>
                <w:szCs w:val="20"/>
              </w:rPr>
            </w:pPr>
            <w:r w:rsidRPr="001A252A">
              <w:rPr>
                <w:i/>
                <w:color w:val="0070C0"/>
                <w:sz w:val="16"/>
                <w:szCs w:val="16"/>
              </w:rPr>
              <w:t>0</w:t>
            </w:r>
          </w:p>
        </w:tc>
        <w:tc>
          <w:tcPr>
            <w:tcW w:w="652" w:type="pct"/>
          </w:tcPr>
          <w:p w14:paraId="4B8DC481" w14:textId="14FE8B36" w:rsidR="006F5677" w:rsidRPr="001A252A" w:rsidRDefault="006F5677" w:rsidP="002E3986">
            <w:pPr>
              <w:spacing w:before="40" w:after="40"/>
              <w:jc w:val="center"/>
              <w:rPr>
                <w:sz w:val="16"/>
                <w:szCs w:val="20"/>
              </w:rPr>
            </w:pPr>
            <w:r>
              <w:rPr>
                <w:i/>
                <w:color w:val="0070C0"/>
                <w:sz w:val="16"/>
                <w:szCs w:val="16"/>
              </w:rPr>
              <w:t>25 October 2024</w:t>
            </w:r>
          </w:p>
        </w:tc>
        <w:tc>
          <w:tcPr>
            <w:tcW w:w="2071" w:type="pct"/>
          </w:tcPr>
          <w:p w14:paraId="18B87031" w14:textId="5910E02B" w:rsidR="006F5677" w:rsidRPr="001A252A" w:rsidRDefault="00CF7099" w:rsidP="002E3986">
            <w:pPr>
              <w:spacing w:before="40" w:after="40"/>
              <w:rPr>
                <w:sz w:val="16"/>
                <w:szCs w:val="20"/>
              </w:rPr>
            </w:pPr>
            <w:r>
              <w:rPr>
                <w:i/>
                <w:color w:val="0070C0"/>
                <w:sz w:val="16"/>
                <w:szCs w:val="16"/>
              </w:rPr>
              <w:t>New position profile created to support Finance ESG</w:t>
            </w:r>
            <w:r w:rsidR="006F5677" w:rsidRPr="001A252A">
              <w:rPr>
                <w:i/>
                <w:color w:val="0070C0"/>
                <w:sz w:val="16"/>
                <w:szCs w:val="16"/>
              </w:rPr>
              <w:t xml:space="preserve"> </w:t>
            </w:r>
          </w:p>
        </w:tc>
        <w:tc>
          <w:tcPr>
            <w:tcW w:w="876" w:type="pct"/>
          </w:tcPr>
          <w:p w14:paraId="76B4CDC8" w14:textId="6DA09F07" w:rsidR="006F5677" w:rsidRPr="00D23BCA" w:rsidRDefault="0099463C" w:rsidP="002E3986">
            <w:pPr>
              <w:spacing w:before="40" w:after="40"/>
              <w:rPr>
                <w:i/>
                <w:color w:val="0070C0"/>
                <w:sz w:val="16"/>
                <w:szCs w:val="16"/>
              </w:rPr>
            </w:pPr>
            <w:r>
              <w:rPr>
                <w:i/>
                <w:color w:val="0070C0"/>
                <w:sz w:val="16"/>
                <w:szCs w:val="16"/>
              </w:rPr>
              <w:t>Lorenzo Puccin</w:t>
            </w:r>
            <w:r w:rsidR="00CF7099">
              <w:rPr>
                <w:i/>
                <w:color w:val="0070C0"/>
                <w:sz w:val="16"/>
                <w:szCs w:val="16"/>
              </w:rPr>
              <w:t>i</w:t>
            </w:r>
          </w:p>
        </w:tc>
        <w:tc>
          <w:tcPr>
            <w:tcW w:w="858" w:type="pct"/>
          </w:tcPr>
          <w:p w14:paraId="11476486" w14:textId="29E95EC9" w:rsidR="006F5677" w:rsidRPr="00D23BCA" w:rsidRDefault="00CF7099" w:rsidP="002E3986">
            <w:pPr>
              <w:spacing w:before="40" w:after="40"/>
              <w:rPr>
                <w:i/>
                <w:color w:val="0070C0"/>
                <w:sz w:val="16"/>
                <w:szCs w:val="16"/>
              </w:rPr>
            </w:pPr>
            <w:r>
              <w:rPr>
                <w:i/>
                <w:color w:val="0070C0"/>
                <w:sz w:val="16"/>
                <w:szCs w:val="16"/>
              </w:rPr>
              <w:t>Ingrid Ryat</w:t>
            </w:r>
          </w:p>
        </w:tc>
      </w:tr>
      <w:tr w:rsidR="006F5677" w:rsidRPr="001A252A" w14:paraId="451DEC4B" w14:textId="77777777" w:rsidTr="002E3986">
        <w:tc>
          <w:tcPr>
            <w:tcW w:w="543" w:type="pct"/>
          </w:tcPr>
          <w:p w14:paraId="382D9DF1" w14:textId="77777777" w:rsidR="006F5677" w:rsidRPr="001A252A" w:rsidRDefault="006F5677" w:rsidP="002E3986">
            <w:pPr>
              <w:spacing w:before="40" w:after="40"/>
              <w:jc w:val="center"/>
              <w:rPr>
                <w:sz w:val="16"/>
                <w:szCs w:val="20"/>
              </w:rPr>
            </w:pPr>
            <w:r w:rsidRPr="001A252A">
              <w:rPr>
                <w:i/>
                <w:color w:val="0070C0"/>
                <w:sz w:val="16"/>
                <w:szCs w:val="16"/>
              </w:rPr>
              <w:t>1</w:t>
            </w:r>
          </w:p>
        </w:tc>
        <w:tc>
          <w:tcPr>
            <w:tcW w:w="652" w:type="pct"/>
          </w:tcPr>
          <w:p w14:paraId="4910FAB2" w14:textId="77777777" w:rsidR="006F5677" w:rsidRPr="001A252A" w:rsidRDefault="006F5677" w:rsidP="002E3986">
            <w:pPr>
              <w:spacing w:before="40" w:after="40"/>
              <w:jc w:val="center"/>
              <w:rPr>
                <w:sz w:val="16"/>
                <w:szCs w:val="20"/>
              </w:rPr>
            </w:pPr>
          </w:p>
        </w:tc>
        <w:tc>
          <w:tcPr>
            <w:tcW w:w="2071" w:type="pct"/>
          </w:tcPr>
          <w:p w14:paraId="2B6E57D5" w14:textId="77777777" w:rsidR="006F5677" w:rsidRPr="001A252A" w:rsidRDefault="006F5677" w:rsidP="002E3986">
            <w:pPr>
              <w:spacing w:before="40" w:after="40"/>
              <w:jc w:val="both"/>
              <w:rPr>
                <w:sz w:val="16"/>
                <w:szCs w:val="20"/>
              </w:rPr>
            </w:pPr>
          </w:p>
        </w:tc>
        <w:tc>
          <w:tcPr>
            <w:tcW w:w="876" w:type="pct"/>
          </w:tcPr>
          <w:p w14:paraId="432C3FB3" w14:textId="77777777" w:rsidR="006F5677" w:rsidRPr="001A252A" w:rsidRDefault="006F5677" w:rsidP="002E3986">
            <w:pPr>
              <w:spacing w:before="40" w:after="40"/>
              <w:jc w:val="both"/>
              <w:rPr>
                <w:sz w:val="16"/>
                <w:szCs w:val="20"/>
              </w:rPr>
            </w:pPr>
          </w:p>
        </w:tc>
        <w:tc>
          <w:tcPr>
            <w:tcW w:w="858" w:type="pct"/>
          </w:tcPr>
          <w:p w14:paraId="13948E25" w14:textId="77777777" w:rsidR="006F5677" w:rsidRPr="001A252A" w:rsidRDefault="006F5677" w:rsidP="002E3986">
            <w:pPr>
              <w:spacing w:before="40" w:after="40"/>
              <w:jc w:val="both"/>
              <w:rPr>
                <w:sz w:val="16"/>
                <w:szCs w:val="20"/>
              </w:rPr>
            </w:pPr>
          </w:p>
        </w:tc>
      </w:tr>
      <w:tr w:rsidR="006F5677" w:rsidRPr="001A252A" w14:paraId="0C1CF364" w14:textId="77777777" w:rsidTr="002E3986">
        <w:tc>
          <w:tcPr>
            <w:tcW w:w="543" w:type="pct"/>
          </w:tcPr>
          <w:p w14:paraId="27FEE4B2" w14:textId="77777777" w:rsidR="006F5677" w:rsidRPr="001A252A" w:rsidRDefault="006F5677" w:rsidP="002E3986">
            <w:pPr>
              <w:spacing w:before="40" w:after="40"/>
              <w:jc w:val="center"/>
              <w:rPr>
                <w:sz w:val="16"/>
                <w:szCs w:val="20"/>
              </w:rPr>
            </w:pPr>
            <w:r w:rsidRPr="001A252A">
              <w:rPr>
                <w:i/>
                <w:color w:val="0070C0"/>
                <w:sz w:val="16"/>
                <w:szCs w:val="16"/>
              </w:rPr>
              <w:t>2</w:t>
            </w:r>
          </w:p>
        </w:tc>
        <w:tc>
          <w:tcPr>
            <w:tcW w:w="652" w:type="pct"/>
          </w:tcPr>
          <w:p w14:paraId="78984645" w14:textId="77777777" w:rsidR="006F5677" w:rsidRPr="001A252A" w:rsidRDefault="006F5677" w:rsidP="002E3986">
            <w:pPr>
              <w:spacing w:before="40" w:after="40"/>
              <w:jc w:val="center"/>
              <w:rPr>
                <w:sz w:val="16"/>
                <w:szCs w:val="20"/>
              </w:rPr>
            </w:pPr>
          </w:p>
        </w:tc>
        <w:tc>
          <w:tcPr>
            <w:tcW w:w="2071" w:type="pct"/>
          </w:tcPr>
          <w:p w14:paraId="04CCBB75" w14:textId="77777777" w:rsidR="006F5677" w:rsidRPr="001A252A" w:rsidRDefault="006F5677" w:rsidP="002E3986">
            <w:pPr>
              <w:spacing w:before="40" w:after="40"/>
              <w:jc w:val="both"/>
              <w:rPr>
                <w:sz w:val="16"/>
                <w:szCs w:val="20"/>
              </w:rPr>
            </w:pPr>
          </w:p>
        </w:tc>
        <w:tc>
          <w:tcPr>
            <w:tcW w:w="876" w:type="pct"/>
          </w:tcPr>
          <w:p w14:paraId="3D402AAE" w14:textId="77777777" w:rsidR="006F5677" w:rsidRPr="001A252A" w:rsidRDefault="006F5677" w:rsidP="002E3986">
            <w:pPr>
              <w:spacing w:before="40" w:after="40"/>
              <w:jc w:val="both"/>
              <w:rPr>
                <w:sz w:val="16"/>
                <w:szCs w:val="20"/>
              </w:rPr>
            </w:pPr>
          </w:p>
        </w:tc>
        <w:tc>
          <w:tcPr>
            <w:tcW w:w="858" w:type="pct"/>
          </w:tcPr>
          <w:p w14:paraId="61B2315F" w14:textId="77777777" w:rsidR="006F5677" w:rsidRPr="001A252A" w:rsidRDefault="006F5677" w:rsidP="002E3986">
            <w:pPr>
              <w:spacing w:before="40" w:after="40"/>
              <w:jc w:val="both"/>
              <w:rPr>
                <w:sz w:val="16"/>
                <w:szCs w:val="20"/>
              </w:rPr>
            </w:pPr>
          </w:p>
        </w:tc>
      </w:tr>
      <w:tr w:rsidR="006F5677" w:rsidRPr="001A252A" w14:paraId="0C79088E" w14:textId="77777777" w:rsidTr="002E3986">
        <w:tc>
          <w:tcPr>
            <w:tcW w:w="543" w:type="pct"/>
          </w:tcPr>
          <w:p w14:paraId="4DB1E9B1" w14:textId="77777777" w:rsidR="006F5677" w:rsidRPr="001A252A" w:rsidRDefault="006F5677" w:rsidP="002E3986">
            <w:pPr>
              <w:spacing w:before="60" w:after="60"/>
              <w:jc w:val="center"/>
              <w:rPr>
                <w:sz w:val="16"/>
                <w:szCs w:val="20"/>
              </w:rPr>
            </w:pPr>
          </w:p>
        </w:tc>
        <w:tc>
          <w:tcPr>
            <w:tcW w:w="652" w:type="pct"/>
          </w:tcPr>
          <w:p w14:paraId="3D5F0524" w14:textId="77777777" w:rsidR="006F5677" w:rsidRPr="001A252A" w:rsidRDefault="006F5677" w:rsidP="002E3986">
            <w:pPr>
              <w:spacing w:before="60" w:after="60"/>
              <w:jc w:val="center"/>
              <w:rPr>
                <w:sz w:val="16"/>
                <w:szCs w:val="20"/>
              </w:rPr>
            </w:pPr>
          </w:p>
        </w:tc>
        <w:tc>
          <w:tcPr>
            <w:tcW w:w="2071" w:type="pct"/>
          </w:tcPr>
          <w:p w14:paraId="015507C1" w14:textId="77777777" w:rsidR="006F5677" w:rsidRPr="001A252A" w:rsidRDefault="006F5677" w:rsidP="002E3986">
            <w:pPr>
              <w:spacing w:before="60" w:after="60"/>
              <w:jc w:val="both"/>
              <w:rPr>
                <w:sz w:val="16"/>
                <w:szCs w:val="20"/>
              </w:rPr>
            </w:pPr>
          </w:p>
        </w:tc>
        <w:tc>
          <w:tcPr>
            <w:tcW w:w="876" w:type="pct"/>
          </w:tcPr>
          <w:p w14:paraId="36172A24" w14:textId="77777777" w:rsidR="006F5677" w:rsidRPr="001A252A" w:rsidRDefault="006F5677" w:rsidP="002E3986">
            <w:pPr>
              <w:spacing w:before="60" w:after="60"/>
              <w:jc w:val="both"/>
              <w:rPr>
                <w:sz w:val="16"/>
                <w:szCs w:val="20"/>
              </w:rPr>
            </w:pPr>
          </w:p>
        </w:tc>
        <w:tc>
          <w:tcPr>
            <w:tcW w:w="858" w:type="pct"/>
          </w:tcPr>
          <w:p w14:paraId="31B8754E" w14:textId="77777777" w:rsidR="006F5677" w:rsidRPr="001A252A" w:rsidRDefault="006F5677" w:rsidP="002E3986">
            <w:pPr>
              <w:spacing w:before="60" w:after="60"/>
              <w:jc w:val="both"/>
              <w:rPr>
                <w:sz w:val="16"/>
                <w:szCs w:val="20"/>
              </w:rPr>
            </w:pPr>
          </w:p>
        </w:tc>
      </w:tr>
      <w:bookmarkEnd w:id="0"/>
    </w:tbl>
    <w:p w14:paraId="1D8AB97F" w14:textId="77777777" w:rsidR="006F5677" w:rsidRDefault="006F5677" w:rsidP="00FC6559">
      <w:pPr>
        <w:spacing w:line="249" w:lineRule="auto"/>
        <w:ind w:right="3"/>
        <w:rPr>
          <w:sz w:val="16"/>
        </w:rPr>
      </w:pPr>
    </w:p>
    <w:sectPr w:rsidR="006F5677" w:rsidSect="00B8136E">
      <w:footerReference w:type="default" r:id="rId15"/>
      <w:headerReference w:type="first" r:id="rId16"/>
      <w:footerReference w:type="first" r:id="rId17"/>
      <w:pgSz w:w="11910" w:h="16840" w:code="9"/>
      <w:pgMar w:top="1474" w:right="1304" w:bottom="1134" w:left="1304" w:header="68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52BB" w14:textId="77777777" w:rsidR="00CF4965" w:rsidRDefault="00CF4965" w:rsidP="00D6557D">
      <w:r>
        <w:separator/>
      </w:r>
    </w:p>
  </w:endnote>
  <w:endnote w:type="continuationSeparator" w:id="0">
    <w:p w14:paraId="243E43F8" w14:textId="77777777" w:rsidR="00CF4965" w:rsidRDefault="00CF4965" w:rsidP="00D6557D">
      <w:r>
        <w:continuationSeparator/>
      </w:r>
    </w:p>
  </w:endnote>
  <w:endnote w:type="continuationNotice" w:id="1">
    <w:p w14:paraId="50726827" w14:textId="77777777" w:rsidR="00CF4965" w:rsidRDefault="00CF4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7"/>
        <w:szCs w:val="17"/>
      </w:rPr>
      <w:id w:val="-1594311300"/>
      <w:docPartObj>
        <w:docPartGallery w:val="Page Numbers (Bottom of Page)"/>
        <w:docPartUnique/>
      </w:docPartObj>
    </w:sdtPr>
    <w:sdtEndPr/>
    <w:sdtContent>
      <w:sdt>
        <w:sdtPr>
          <w:rPr>
            <w:sz w:val="17"/>
            <w:szCs w:val="17"/>
          </w:rPr>
          <w:id w:val="-1769616900"/>
          <w:docPartObj>
            <w:docPartGallery w:val="Page Numbers (Top of Page)"/>
            <w:docPartUnique/>
          </w:docPartObj>
        </w:sdtPr>
        <w:sdtEndPr/>
        <w:sdtContent>
          <w:p w14:paraId="4B0D47B1" w14:textId="77777777" w:rsidR="0020719B" w:rsidRPr="0020719B" w:rsidRDefault="0020719B" w:rsidP="0020719B">
            <w:pPr>
              <w:pBdr>
                <w:top w:val="single" w:sz="4" w:space="1" w:color="808080" w:themeColor="background1" w:themeShade="80"/>
              </w:pBdr>
              <w:tabs>
                <w:tab w:val="right" w:pos="9639"/>
              </w:tabs>
              <w:snapToGrid w:val="0"/>
              <w:rPr>
                <w:sz w:val="10"/>
                <w:szCs w:val="16"/>
              </w:rPr>
            </w:pPr>
          </w:p>
          <w:p w14:paraId="57842837" w14:textId="77777777" w:rsidR="00F07836" w:rsidRPr="00F07836" w:rsidRDefault="00F07836" w:rsidP="00F07836">
            <w:pPr>
              <w:pStyle w:val="Footer"/>
              <w:jc w:val="center"/>
              <w:rPr>
                <w:sz w:val="17"/>
                <w:szCs w:val="17"/>
              </w:rPr>
            </w:pPr>
            <w:r w:rsidRPr="00F07836">
              <w:rPr>
                <w:sz w:val="17"/>
                <w:szCs w:val="17"/>
              </w:rPr>
              <w:t xml:space="preserve">Page </w:t>
            </w:r>
            <w:r w:rsidRPr="00F07836">
              <w:rPr>
                <w:sz w:val="17"/>
                <w:szCs w:val="17"/>
              </w:rPr>
              <w:fldChar w:fldCharType="begin"/>
            </w:r>
            <w:r w:rsidRPr="00F07836">
              <w:rPr>
                <w:sz w:val="17"/>
                <w:szCs w:val="17"/>
              </w:rPr>
              <w:instrText xml:space="preserve"> PAGE </w:instrText>
            </w:r>
            <w:r w:rsidRPr="00F07836">
              <w:rPr>
                <w:sz w:val="17"/>
                <w:szCs w:val="17"/>
              </w:rPr>
              <w:fldChar w:fldCharType="separate"/>
            </w:r>
            <w:r w:rsidRPr="00F07836">
              <w:rPr>
                <w:noProof/>
                <w:sz w:val="17"/>
                <w:szCs w:val="17"/>
              </w:rPr>
              <w:t>2</w:t>
            </w:r>
            <w:r w:rsidRPr="00F07836">
              <w:rPr>
                <w:sz w:val="17"/>
                <w:szCs w:val="17"/>
              </w:rPr>
              <w:fldChar w:fldCharType="end"/>
            </w:r>
            <w:r w:rsidRPr="00F07836">
              <w:rPr>
                <w:sz w:val="17"/>
                <w:szCs w:val="17"/>
              </w:rPr>
              <w:t xml:space="preserve"> of </w:t>
            </w:r>
            <w:r w:rsidRPr="00F07836">
              <w:rPr>
                <w:sz w:val="17"/>
                <w:szCs w:val="17"/>
              </w:rPr>
              <w:fldChar w:fldCharType="begin"/>
            </w:r>
            <w:r w:rsidRPr="00F07836">
              <w:rPr>
                <w:sz w:val="17"/>
                <w:szCs w:val="17"/>
              </w:rPr>
              <w:instrText xml:space="preserve"> NUMPAGES  </w:instrText>
            </w:r>
            <w:r w:rsidRPr="00F07836">
              <w:rPr>
                <w:sz w:val="17"/>
                <w:szCs w:val="17"/>
              </w:rPr>
              <w:fldChar w:fldCharType="separate"/>
            </w:r>
            <w:r w:rsidRPr="00F07836">
              <w:rPr>
                <w:noProof/>
                <w:sz w:val="17"/>
                <w:szCs w:val="17"/>
              </w:rPr>
              <w:t>2</w:t>
            </w:r>
            <w:r w:rsidRPr="00F07836">
              <w:rPr>
                <w:sz w:val="17"/>
                <w:szCs w:val="17"/>
              </w:rPr>
              <w:fldChar w:fldCharType="end"/>
            </w:r>
          </w:p>
          <w:p w14:paraId="0407BACC" w14:textId="77777777" w:rsidR="00F07836" w:rsidRPr="00F07836" w:rsidRDefault="009A365A" w:rsidP="00F07836">
            <w:pPr>
              <w:pStyle w:val="Footer"/>
              <w:jc w:val="center"/>
              <w:rPr>
                <w:sz w:val="17"/>
                <w:szCs w:val="17"/>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A23FB" w14:textId="79A22D54" w:rsidR="0020719B" w:rsidRPr="0020719B" w:rsidRDefault="00651FD9" w:rsidP="000A3FFF">
    <w:pPr>
      <w:pBdr>
        <w:top w:val="single" w:sz="4" w:space="20" w:color="808080" w:themeColor="background1" w:themeShade="80"/>
      </w:pBdr>
      <w:tabs>
        <w:tab w:val="right" w:pos="9639"/>
      </w:tabs>
      <w:snapToGrid w:val="0"/>
      <w:rPr>
        <w:sz w:val="10"/>
        <w:szCs w:val="16"/>
      </w:rPr>
    </w:pPr>
    <w:r w:rsidRPr="00A2611C">
      <w:rPr>
        <w:sz w:val="16"/>
        <w:szCs w:val="16"/>
      </w:rPr>
      <w:t xml:space="preserve">Position Profile – </w:t>
    </w:r>
    <w:r w:rsidRPr="00651FD9">
      <w:rPr>
        <w:sz w:val="16"/>
        <w:szCs w:val="16"/>
      </w:rPr>
      <w:t>Senior Financial and Sustainability Accountant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184AA" w14:textId="77777777" w:rsidR="00CF4965" w:rsidRDefault="00CF4965" w:rsidP="00D6557D">
      <w:r>
        <w:separator/>
      </w:r>
    </w:p>
  </w:footnote>
  <w:footnote w:type="continuationSeparator" w:id="0">
    <w:p w14:paraId="3C425474" w14:textId="77777777" w:rsidR="00CF4965" w:rsidRDefault="00CF4965" w:rsidP="00D6557D">
      <w:r>
        <w:continuationSeparator/>
      </w:r>
    </w:p>
  </w:footnote>
  <w:footnote w:type="continuationNotice" w:id="1">
    <w:p w14:paraId="67C27DF0" w14:textId="77777777" w:rsidR="00CF4965" w:rsidRDefault="00CF4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1FB66" w14:textId="07CF3654" w:rsidR="00293F8D" w:rsidRDefault="002236C9">
    <w:pPr>
      <w:pStyle w:val="Header"/>
    </w:pPr>
    <w:r>
      <w:rPr>
        <w:noProof/>
      </w:rPr>
      <w:drawing>
        <wp:anchor distT="0" distB="0" distL="114300" distR="114300" simplePos="0" relativeHeight="251673087" behindDoc="1" locked="0" layoutInCell="1" allowOverlap="1" wp14:anchorId="0ECA6E6A" wp14:editId="02AF8B89">
          <wp:simplePos x="0" y="0"/>
          <wp:positionH relativeFrom="column">
            <wp:posOffset>3075500</wp:posOffset>
          </wp:positionH>
          <wp:positionV relativeFrom="paragraph">
            <wp:posOffset>-245745</wp:posOffset>
          </wp:positionV>
          <wp:extent cx="3149238" cy="1442244"/>
          <wp:effectExtent l="0" t="0" r="0" b="0"/>
          <wp:wrapNone/>
          <wp:docPr id="1880341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41702" name="Picture 1880341702"/>
                  <pic:cNvPicPr/>
                </pic:nvPicPr>
                <pic:blipFill>
                  <a:blip r:embed="rId1">
                    <a:extLst>
                      <a:ext uri="{28A0092B-C50C-407E-A947-70E740481C1C}">
                        <a14:useLocalDpi xmlns:a14="http://schemas.microsoft.com/office/drawing/2010/main" val="0"/>
                      </a:ext>
                    </a:extLst>
                  </a:blip>
                  <a:stretch>
                    <a:fillRect/>
                  </a:stretch>
                </pic:blipFill>
                <pic:spPr>
                  <a:xfrm>
                    <a:off x="0" y="0"/>
                    <a:ext cx="3149238" cy="14422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9C3"/>
    <w:multiLevelType w:val="hybridMultilevel"/>
    <w:tmpl w:val="994CA120"/>
    <w:lvl w:ilvl="0" w:tplc="D2BE5112">
      <w:start w:val="1"/>
      <w:numFmt w:val="bullet"/>
      <w:lvlText w:val="·"/>
      <w:lvlJc w:val="left"/>
      <w:pPr>
        <w:ind w:left="720" w:hanging="360"/>
      </w:pPr>
      <w:rPr>
        <w:rFonts w:ascii="Symbol" w:hAnsi="Symbol" w:hint="default"/>
      </w:rPr>
    </w:lvl>
    <w:lvl w:ilvl="1" w:tplc="A4B89114">
      <w:start w:val="1"/>
      <w:numFmt w:val="bullet"/>
      <w:lvlText w:val="o"/>
      <w:lvlJc w:val="left"/>
      <w:pPr>
        <w:ind w:left="1440" w:hanging="360"/>
      </w:pPr>
      <w:rPr>
        <w:rFonts w:ascii="Courier New" w:hAnsi="Courier New" w:hint="default"/>
      </w:rPr>
    </w:lvl>
    <w:lvl w:ilvl="2" w:tplc="4EF4549E">
      <w:start w:val="1"/>
      <w:numFmt w:val="bullet"/>
      <w:lvlText w:val=""/>
      <w:lvlJc w:val="left"/>
      <w:pPr>
        <w:ind w:left="2160" w:hanging="360"/>
      </w:pPr>
      <w:rPr>
        <w:rFonts w:ascii="Wingdings" w:hAnsi="Wingdings" w:hint="default"/>
      </w:rPr>
    </w:lvl>
    <w:lvl w:ilvl="3" w:tplc="B3FA2314">
      <w:start w:val="1"/>
      <w:numFmt w:val="bullet"/>
      <w:lvlText w:val=""/>
      <w:lvlJc w:val="left"/>
      <w:pPr>
        <w:ind w:left="2880" w:hanging="360"/>
      </w:pPr>
      <w:rPr>
        <w:rFonts w:ascii="Symbol" w:hAnsi="Symbol" w:hint="default"/>
      </w:rPr>
    </w:lvl>
    <w:lvl w:ilvl="4" w:tplc="06C61E08">
      <w:start w:val="1"/>
      <w:numFmt w:val="bullet"/>
      <w:lvlText w:val="o"/>
      <w:lvlJc w:val="left"/>
      <w:pPr>
        <w:ind w:left="3600" w:hanging="360"/>
      </w:pPr>
      <w:rPr>
        <w:rFonts w:ascii="Courier New" w:hAnsi="Courier New" w:hint="default"/>
      </w:rPr>
    </w:lvl>
    <w:lvl w:ilvl="5" w:tplc="5D1A1944">
      <w:start w:val="1"/>
      <w:numFmt w:val="bullet"/>
      <w:lvlText w:val=""/>
      <w:lvlJc w:val="left"/>
      <w:pPr>
        <w:ind w:left="4320" w:hanging="360"/>
      </w:pPr>
      <w:rPr>
        <w:rFonts w:ascii="Wingdings" w:hAnsi="Wingdings" w:hint="default"/>
      </w:rPr>
    </w:lvl>
    <w:lvl w:ilvl="6" w:tplc="8D8CCF66">
      <w:start w:val="1"/>
      <w:numFmt w:val="bullet"/>
      <w:lvlText w:val=""/>
      <w:lvlJc w:val="left"/>
      <w:pPr>
        <w:ind w:left="5040" w:hanging="360"/>
      </w:pPr>
      <w:rPr>
        <w:rFonts w:ascii="Symbol" w:hAnsi="Symbol" w:hint="default"/>
      </w:rPr>
    </w:lvl>
    <w:lvl w:ilvl="7" w:tplc="F3049964">
      <w:start w:val="1"/>
      <w:numFmt w:val="bullet"/>
      <w:lvlText w:val="o"/>
      <w:lvlJc w:val="left"/>
      <w:pPr>
        <w:ind w:left="5760" w:hanging="360"/>
      </w:pPr>
      <w:rPr>
        <w:rFonts w:ascii="Courier New" w:hAnsi="Courier New" w:hint="default"/>
      </w:rPr>
    </w:lvl>
    <w:lvl w:ilvl="8" w:tplc="372AA148">
      <w:start w:val="1"/>
      <w:numFmt w:val="bullet"/>
      <w:lvlText w:val=""/>
      <w:lvlJc w:val="left"/>
      <w:pPr>
        <w:ind w:left="6480" w:hanging="360"/>
      </w:pPr>
      <w:rPr>
        <w:rFonts w:ascii="Wingdings" w:hAnsi="Wingdings" w:hint="default"/>
      </w:rPr>
    </w:lvl>
  </w:abstractNum>
  <w:num w:numId="1" w16cid:durableId="194203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C9"/>
    <w:rsid w:val="00014824"/>
    <w:rsid w:val="00027632"/>
    <w:rsid w:val="00034652"/>
    <w:rsid w:val="00054CAF"/>
    <w:rsid w:val="000A3FFF"/>
    <w:rsid w:val="000E364A"/>
    <w:rsid w:val="000E6138"/>
    <w:rsid w:val="00112EE5"/>
    <w:rsid w:val="00113FDE"/>
    <w:rsid w:val="001B345B"/>
    <w:rsid w:val="001C6C65"/>
    <w:rsid w:val="001F6FBD"/>
    <w:rsid w:val="0020719B"/>
    <w:rsid w:val="00210B22"/>
    <w:rsid w:val="00210C37"/>
    <w:rsid w:val="002163B3"/>
    <w:rsid w:val="002215D3"/>
    <w:rsid w:val="002236C9"/>
    <w:rsid w:val="00293F8D"/>
    <w:rsid w:val="003F137B"/>
    <w:rsid w:val="00412665"/>
    <w:rsid w:val="004F064A"/>
    <w:rsid w:val="00515D40"/>
    <w:rsid w:val="00640AAE"/>
    <w:rsid w:val="00651FD9"/>
    <w:rsid w:val="006919E2"/>
    <w:rsid w:val="006F5677"/>
    <w:rsid w:val="00716DE8"/>
    <w:rsid w:val="00742550"/>
    <w:rsid w:val="008503C6"/>
    <w:rsid w:val="008B140E"/>
    <w:rsid w:val="00976B13"/>
    <w:rsid w:val="0099463C"/>
    <w:rsid w:val="009A365A"/>
    <w:rsid w:val="009D5DD5"/>
    <w:rsid w:val="00A61EE9"/>
    <w:rsid w:val="00AC7A7C"/>
    <w:rsid w:val="00B22462"/>
    <w:rsid w:val="00B41E5A"/>
    <w:rsid w:val="00B426BF"/>
    <w:rsid w:val="00B53A1B"/>
    <w:rsid w:val="00B8136E"/>
    <w:rsid w:val="00B9035B"/>
    <w:rsid w:val="00B94947"/>
    <w:rsid w:val="00C02B9D"/>
    <w:rsid w:val="00C53834"/>
    <w:rsid w:val="00C82FFA"/>
    <w:rsid w:val="00C85D0E"/>
    <w:rsid w:val="00CB7097"/>
    <w:rsid w:val="00CD662D"/>
    <w:rsid w:val="00CF4965"/>
    <w:rsid w:val="00CF7099"/>
    <w:rsid w:val="00D6557D"/>
    <w:rsid w:val="00D8741B"/>
    <w:rsid w:val="00DE4169"/>
    <w:rsid w:val="00E26C4C"/>
    <w:rsid w:val="00E52A0F"/>
    <w:rsid w:val="00E92D8F"/>
    <w:rsid w:val="00EC081A"/>
    <w:rsid w:val="00EE7FEE"/>
    <w:rsid w:val="00F076D5"/>
    <w:rsid w:val="00F07836"/>
    <w:rsid w:val="00F51DA0"/>
    <w:rsid w:val="00F5268D"/>
    <w:rsid w:val="00FC3CE9"/>
    <w:rsid w:val="00FC6559"/>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EE372"/>
  <w15:docId w15:val="{2778D794-36AF-3849-A181-33BB4650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0719B"/>
    <w:rPr>
      <w:rFonts w:ascii="Arial" w:eastAsia="Arial" w:hAnsi="Arial" w:cs="Arial"/>
    </w:rPr>
  </w:style>
  <w:style w:type="paragraph" w:styleId="Heading1">
    <w:name w:val="heading 1"/>
    <w:basedOn w:val="Normal"/>
    <w:uiPriority w:val="9"/>
    <w:qFormat/>
    <w:pPr>
      <w:ind w:left="1700"/>
      <w:outlineLvl w:val="0"/>
    </w:pPr>
    <w:rPr>
      <w:b/>
      <w:bCs/>
      <w:sz w:val="20"/>
      <w:szCs w:val="20"/>
    </w:rPr>
  </w:style>
  <w:style w:type="paragraph" w:styleId="Heading2">
    <w:name w:val="heading 2"/>
    <w:basedOn w:val="Normal"/>
    <w:next w:val="Normal"/>
    <w:link w:val="Heading2Char"/>
    <w:uiPriority w:val="9"/>
    <w:semiHidden/>
    <w:unhideWhenUsed/>
    <w:qFormat/>
    <w:rsid w:val="002215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557D"/>
    <w:pPr>
      <w:tabs>
        <w:tab w:val="center" w:pos="4513"/>
        <w:tab w:val="right" w:pos="9026"/>
      </w:tabs>
    </w:pPr>
  </w:style>
  <w:style w:type="character" w:customStyle="1" w:styleId="HeaderChar">
    <w:name w:val="Header Char"/>
    <w:basedOn w:val="DefaultParagraphFont"/>
    <w:link w:val="Header"/>
    <w:uiPriority w:val="99"/>
    <w:rsid w:val="00D6557D"/>
    <w:rPr>
      <w:rFonts w:ascii="Arial" w:eastAsia="Arial" w:hAnsi="Arial" w:cs="Arial"/>
    </w:rPr>
  </w:style>
  <w:style w:type="paragraph" w:styleId="Footer">
    <w:name w:val="footer"/>
    <w:basedOn w:val="Normal"/>
    <w:link w:val="FooterChar"/>
    <w:uiPriority w:val="99"/>
    <w:unhideWhenUsed/>
    <w:rsid w:val="00D6557D"/>
    <w:pPr>
      <w:tabs>
        <w:tab w:val="center" w:pos="4513"/>
        <w:tab w:val="right" w:pos="9026"/>
      </w:tabs>
    </w:pPr>
  </w:style>
  <w:style w:type="character" w:customStyle="1" w:styleId="FooterChar">
    <w:name w:val="Footer Char"/>
    <w:basedOn w:val="DefaultParagraphFont"/>
    <w:link w:val="Footer"/>
    <w:uiPriority w:val="99"/>
    <w:rsid w:val="00D6557D"/>
    <w:rPr>
      <w:rFonts w:ascii="Arial" w:eastAsia="Arial" w:hAnsi="Arial" w:cs="Arial"/>
    </w:rPr>
  </w:style>
  <w:style w:type="character" w:customStyle="1" w:styleId="Heading2Char">
    <w:name w:val="Heading 2 Char"/>
    <w:basedOn w:val="DefaultParagraphFont"/>
    <w:link w:val="Heading2"/>
    <w:uiPriority w:val="9"/>
    <w:semiHidden/>
    <w:rsid w:val="002215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Downloads\24_9608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1B26BC-7BAA-4183-BE9D-A11435B08BBA}" type="doc">
      <dgm:prSet loTypeId="urn:microsoft.com/office/officeart/2005/8/layout/orgChart1" loCatId="hierarchy" qsTypeId="urn:microsoft.com/office/officeart/2005/8/quickstyle/simple1" qsCatId="simple" csTypeId="urn:microsoft.com/office/officeart/2005/8/colors/accent1_2" csCatId="accent1" phldr="1"/>
      <dgm:spPr/>
    </dgm:pt>
    <dgm:pt modelId="{5B1E1861-27C8-4E8D-805A-FDAC192E7FB5}">
      <dgm:prSet custT="1"/>
      <dgm:spPr>
        <a:xfrm>
          <a:off x="3382519" y="577737"/>
          <a:ext cx="813249" cy="40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AU" sz="900" b="0" i="0" u="none" strike="noStrike" baseline="0">
              <a:solidFill>
                <a:sysClr val="window" lastClr="FFFFFF"/>
              </a:solidFill>
              <a:latin typeface="+mn-lt"/>
              <a:ea typeface="+mn-ea"/>
              <a:cs typeface="+mn-cs"/>
            </a:rPr>
            <a:t>General Manager</a:t>
          </a:r>
        </a:p>
        <a:p>
          <a:pPr marR="0" algn="ctr" rtl="0"/>
          <a:r>
            <a:rPr lang="en-AU" sz="900" b="0" i="0" u="none" strike="noStrike" baseline="0">
              <a:solidFill>
                <a:sysClr val="window" lastClr="FFFFFF"/>
              </a:solidFill>
              <a:latin typeface="+mn-lt"/>
              <a:ea typeface="+mn-ea"/>
              <a:cs typeface="+mn-cs"/>
            </a:rPr>
            <a:t> Tax, Treasury and Financial Reporting</a:t>
          </a:r>
        </a:p>
      </dgm:t>
    </dgm:pt>
    <dgm:pt modelId="{1473FE7E-7B56-4E51-8043-8AE71707C049}" type="parTrans" cxnId="{9B8C6578-1688-4140-8751-9985A4F24CCB}">
      <dgm:prSet/>
      <dgm:spPr>
        <a:xfrm>
          <a:off x="2805112" y="406955"/>
          <a:ext cx="984032" cy="170782"/>
        </a:xfrm>
        <a:noFill/>
        <a:ln w="25400" cap="flat" cmpd="sng" algn="ctr">
          <a:solidFill>
            <a:srgbClr val="4F81BD">
              <a:shade val="60000"/>
              <a:hueOff val="0"/>
              <a:satOff val="0"/>
              <a:lumOff val="0"/>
              <a:alphaOff val="0"/>
            </a:srgbClr>
          </a:solidFill>
          <a:prstDash val="solid"/>
        </a:ln>
        <a:effectLst/>
      </dgm:spPr>
      <dgm:t>
        <a:bodyPr/>
        <a:lstStyle/>
        <a:p>
          <a:endParaRPr lang="en-AU" sz="900"/>
        </a:p>
      </dgm:t>
    </dgm:pt>
    <dgm:pt modelId="{E68D6BBD-0B93-4C04-925B-2F4B04455C78}" type="sibTrans" cxnId="{9B8C6578-1688-4140-8751-9985A4F24CCB}">
      <dgm:prSet/>
      <dgm:spPr/>
      <dgm:t>
        <a:bodyPr/>
        <a:lstStyle/>
        <a:p>
          <a:endParaRPr lang="en-AU" sz="900"/>
        </a:p>
      </dgm:t>
    </dgm:pt>
    <dgm:pt modelId="{D6D63AC7-C16A-453F-A391-926F7393E300}">
      <dgm:prSet custT="1"/>
      <dgm:spPr>
        <a:xfrm>
          <a:off x="2398487" y="1155144"/>
          <a:ext cx="813249" cy="406624"/>
        </a:xfrm>
        <a:solidFill>
          <a:srgbClr val="4F81BD">
            <a:hueOff val="0"/>
            <a:satOff val="0"/>
            <a:lumOff val="0"/>
            <a:alphaOff val="0"/>
          </a:srgbClr>
        </a:solidFill>
        <a:ln w="25400" cap="flat" cmpd="sng" algn="ctr">
          <a:solidFill>
            <a:schemeClr val="tx2">
              <a:lumMod val="75000"/>
            </a:schemeClr>
          </a:solidFill>
          <a:prstDash val="solid"/>
        </a:ln>
        <a:effectLst/>
      </dgm:spPr>
      <dgm:t>
        <a:bodyPr/>
        <a:lstStyle/>
        <a:p>
          <a:pPr marR="0" algn="ctr" rtl="0"/>
          <a:r>
            <a:rPr lang="en-AU" sz="900" b="1" i="0" u="none" strike="noStrike" baseline="0">
              <a:solidFill>
                <a:sysClr val="window" lastClr="FFFFFF"/>
              </a:solidFill>
              <a:latin typeface="+mn-lt"/>
              <a:ea typeface="+mn-ea"/>
              <a:cs typeface="+mn-cs"/>
            </a:rPr>
            <a:t>Financial Reporting Manager</a:t>
          </a:r>
        </a:p>
      </dgm:t>
    </dgm:pt>
    <dgm:pt modelId="{67FF0069-6F06-44FF-B43A-0BF018D65715}" type="parTrans" cxnId="{F9CBAD3C-B3C1-4858-B150-CA0E7B28A02E}">
      <dgm:prSet/>
      <dgm:spPr>
        <a:xfrm>
          <a:off x="2805112" y="984362"/>
          <a:ext cx="984032" cy="170782"/>
        </a:xfrm>
        <a:noFill/>
        <a:ln w="25400" cap="flat" cmpd="sng" algn="ctr">
          <a:solidFill>
            <a:srgbClr val="4F81BD">
              <a:shade val="80000"/>
              <a:hueOff val="0"/>
              <a:satOff val="0"/>
              <a:lumOff val="0"/>
              <a:alphaOff val="0"/>
            </a:srgbClr>
          </a:solidFill>
          <a:prstDash val="solid"/>
        </a:ln>
        <a:effectLst/>
      </dgm:spPr>
      <dgm:t>
        <a:bodyPr/>
        <a:lstStyle/>
        <a:p>
          <a:endParaRPr lang="en-AU" sz="900"/>
        </a:p>
      </dgm:t>
    </dgm:pt>
    <dgm:pt modelId="{4EC884A5-EDAE-444F-A3CF-A58ACCDA08C9}" type="sibTrans" cxnId="{F9CBAD3C-B3C1-4858-B150-CA0E7B28A02E}">
      <dgm:prSet/>
      <dgm:spPr/>
      <dgm:t>
        <a:bodyPr/>
        <a:lstStyle/>
        <a:p>
          <a:endParaRPr lang="en-AU" sz="900"/>
        </a:p>
      </dgm:t>
    </dgm:pt>
    <dgm:pt modelId="{9EE9FB1B-C89B-496E-936B-3C6C30706A31}">
      <dgm:prSet custT="1"/>
      <dgm:spPr>
        <a:solidFill>
          <a:schemeClr val="accent1"/>
        </a:solidFill>
      </dgm:spPr>
      <dgm:t>
        <a:bodyPr/>
        <a:lstStyle/>
        <a:p>
          <a:r>
            <a:rPr lang="en-AU" sz="900" b="0" i="0" u="none" strike="noStrike" baseline="0">
              <a:solidFill>
                <a:sysClr val="window" lastClr="FFFFFF"/>
              </a:solidFill>
              <a:latin typeface="+mn-lt"/>
              <a:ea typeface="+mn-ea"/>
              <a:cs typeface="+mn-cs"/>
            </a:rPr>
            <a:t>Senior Financial Accountant </a:t>
          </a:r>
        </a:p>
      </dgm:t>
    </dgm:pt>
    <dgm:pt modelId="{4A118931-D35F-4FA6-A428-6E6DA93DA827}" type="parTrans" cxnId="{EA5EC996-FBD5-43CC-897E-E1EC4B1F5572}">
      <dgm:prSet/>
      <dgm:spPr/>
      <dgm:t>
        <a:bodyPr/>
        <a:lstStyle/>
        <a:p>
          <a:endParaRPr lang="en-AU" sz="900"/>
        </a:p>
      </dgm:t>
    </dgm:pt>
    <dgm:pt modelId="{293A1572-4979-4B00-B291-F8D1EFA1D1C8}" type="sibTrans" cxnId="{EA5EC996-FBD5-43CC-897E-E1EC4B1F5572}">
      <dgm:prSet/>
      <dgm:spPr/>
      <dgm:t>
        <a:bodyPr/>
        <a:lstStyle/>
        <a:p>
          <a:endParaRPr lang="en-AU" sz="900"/>
        </a:p>
      </dgm:t>
    </dgm:pt>
    <dgm:pt modelId="{B76E64F5-7FDE-4AF3-B929-B66F4218A686}">
      <dgm:prSet custT="1"/>
      <dgm:spPr>
        <a:solidFill>
          <a:srgbClr val="FFC000"/>
        </a:solidFill>
      </dgm:spPr>
      <dgm:t>
        <a:bodyPr/>
        <a:lstStyle/>
        <a:p>
          <a:r>
            <a:rPr lang="en-AU" sz="900">
              <a:latin typeface="+mn-lt"/>
            </a:rPr>
            <a:t>Senior Financial and Sustainability Accountant</a:t>
          </a:r>
        </a:p>
      </dgm:t>
    </dgm:pt>
    <dgm:pt modelId="{EF4A8FA2-CD03-4CC5-846B-CE22EE717F27}" type="parTrans" cxnId="{0A8C821E-B904-48D6-A551-E53008F2BC8B}">
      <dgm:prSet/>
      <dgm:spPr/>
      <dgm:t>
        <a:bodyPr/>
        <a:lstStyle/>
        <a:p>
          <a:endParaRPr lang="en-AU" sz="900"/>
        </a:p>
      </dgm:t>
    </dgm:pt>
    <dgm:pt modelId="{EAEC3C99-8F77-49B1-958B-D15940FFB4BA}" type="sibTrans" cxnId="{0A8C821E-B904-48D6-A551-E53008F2BC8B}">
      <dgm:prSet/>
      <dgm:spPr/>
      <dgm:t>
        <a:bodyPr/>
        <a:lstStyle/>
        <a:p>
          <a:endParaRPr lang="en-AU" sz="900"/>
        </a:p>
      </dgm:t>
    </dgm:pt>
    <dgm:pt modelId="{6DDC3CB5-431A-4297-A42C-DA53606662AB}">
      <dgm:prSet custT="1"/>
      <dgm:spPr>
        <a:solidFill>
          <a:schemeClr val="accent1"/>
        </a:solidFill>
      </dgm:spPr>
      <dgm:t>
        <a:bodyPr/>
        <a:lstStyle/>
        <a:p>
          <a:r>
            <a:rPr lang="en-AU" sz="900" b="0" i="0" u="none" strike="noStrike" baseline="0">
              <a:solidFill>
                <a:sysClr val="window" lastClr="FFFFFF"/>
              </a:solidFill>
              <a:latin typeface="+mn-lt"/>
              <a:ea typeface="+mn-ea"/>
              <a:cs typeface="+mn-cs"/>
            </a:rPr>
            <a:t>Financial Accountant</a:t>
          </a:r>
        </a:p>
      </dgm:t>
    </dgm:pt>
    <dgm:pt modelId="{680149DF-33CB-4578-A045-B0371744CFC3}" type="parTrans" cxnId="{DB93ABCC-2D31-4A9E-A486-B21E65913C72}">
      <dgm:prSet/>
      <dgm:spPr/>
      <dgm:t>
        <a:bodyPr/>
        <a:lstStyle/>
        <a:p>
          <a:endParaRPr lang="en-AU" sz="900"/>
        </a:p>
      </dgm:t>
    </dgm:pt>
    <dgm:pt modelId="{FCE8A0DC-D435-4AB9-A250-E9665DCD6F0A}" type="sibTrans" cxnId="{DB93ABCC-2D31-4A9E-A486-B21E65913C72}">
      <dgm:prSet/>
      <dgm:spPr/>
      <dgm:t>
        <a:bodyPr/>
        <a:lstStyle/>
        <a:p>
          <a:endParaRPr lang="en-AU" sz="900"/>
        </a:p>
      </dgm:t>
    </dgm:pt>
    <dgm:pt modelId="{9EEBF319-EE1E-4854-9C6B-64136CA4455D}" type="pres">
      <dgm:prSet presAssocID="{C41B26BC-7BAA-4183-BE9D-A11435B08BBA}" presName="hierChild1" presStyleCnt="0">
        <dgm:presLayoutVars>
          <dgm:orgChart val="1"/>
          <dgm:chPref val="1"/>
          <dgm:dir/>
          <dgm:animOne val="branch"/>
          <dgm:animLvl val="lvl"/>
          <dgm:resizeHandles/>
        </dgm:presLayoutVars>
      </dgm:prSet>
      <dgm:spPr/>
    </dgm:pt>
    <dgm:pt modelId="{0D83A1D5-0462-49D2-B672-0CF8CDD661F7}" type="pres">
      <dgm:prSet presAssocID="{5B1E1861-27C8-4E8D-805A-FDAC192E7FB5}" presName="hierRoot1" presStyleCnt="0">
        <dgm:presLayoutVars>
          <dgm:hierBranch val="init"/>
        </dgm:presLayoutVars>
      </dgm:prSet>
      <dgm:spPr/>
    </dgm:pt>
    <dgm:pt modelId="{E103FF9E-ABAD-4B31-A8E1-B13A91980125}" type="pres">
      <dgm:prSet presAssocID="{5B1E1861-27C8-4E8D-805A-FDAC192E7FB5}" presName="rootComposite1" presStyleCnt="0"/>
      <dgm:spPr/>
    </dgm:pt>
    <dgm:pt modelId="{C52FEA37-6A59-45AA-A3BF-93A551FBE7ED}" type="pres">
      <dgm:prSet presAssocID="{5B1E1861-27C8-4E8D-805A-FDAC192E7FB5}" presName="rootText1" presStyleLbl="node0" presStyleIdx="0" presStyleCnt="1">
        <dgm:presLayoutVars>
          <dgm:chPref val="3"/>
        </dgm:presLayoutVars>
      </dgm:prSet>
      <dgm:spPr/>
    </dgm:pt>
    <dgm:pt modelId="{13ACEBF8-690C-4509-8892-0DED4B825AAB}" type="pres">
      <dgm:prSet presAssocID="{5B1E1861-27C8-4E8D-805A-FDAC192E7FB5}" presName="rootConnector1" presStyleLbl="node1" presStyleIdx="0" presStyleCnt="0"/>
      <dgm:spPr/>
    </dgm:pt>
    <dgm:pt modelId="{1B413142-B416-43D0-B652-809479BE94A9}" type="pres">
      <dgm:prSet presAssocID="{5B1E1861-27C8-4E8D-805A-FDAC192E7FB5}" presName="hierChild2" presStyleCnt="0"/>
      <dgm:spPr/>
    </dgm:pt>
    <dgm:pt modelId="{92D71704-D341-4FB2-BAA1-4D950806003E}" type="pres">
      <dgm:prSet presAssocID="{67FF0069-6F06-44FF-B43A-0BF018D65715}" presName="Name37" presStyleLbl="parChTrans1D2" presStyleIdx="0" presStyleCnt="1"/>
      <dgm:spPr/>
    </dgm:pt>
    <dgm:pt modelId="{8C49FC1E-6DA6-439A-84DC-304FE6CD45F6}" type="pres">
      <dgm:prSet presAssocID="{D6D63AC7-C16A-453F-A391-926F7393E300}" presName="hierRoot2" presStyleCnt="0">
        <dgm:presLayoutVars>
          <dgm:hierBranch val="r"/>
        </dgm:presLayoutVars>
      </dgm:prSet>
      <dgm:spPr/>
    </dgm:pt>
    <dgm:pt modelId="{499ECA0D-88B6-4524-A434-1DB1EF5C753D}" type="pres">
      <dgm:prSet presAssocID="{D6D63AC7-C16A-453F-A391-926F7393E300}" presName="rootComposite" presStyleCnt="0"/>
      <dgm:spPr/>
    </dgm:pt>
    <dgm:pt modelId="{39CB46F9-CCBF-487F-B8F3-2811942A44D0}" type="pres">
      <dgm:prSet presAssocID="{D6D63AC7-C16A-453F-A391-926F7393E300}" presName="rootText" presStyleLbl="node2" presStyleIdx="0" presStyleCnt="1">
        <dgm:presLayoutVars>
          <dgm:chPref val="3"/>
        </dgm:presLayoutVars>
      </dgm:prSet>
      <dgm:spPr>
        <a:prstGeom prst="rect">
          <a:avLst/>
        </a:prstGeom>
      </dgm:spPr>
    </dgm:pt>
    <dgm:pt modelId="{A05C4CA3-6CAE-472C-A838-D9507412ACED}" type="pres">
      <dgm:prSet presAssocID="{D6D63AC7-C16A-453F-A391-926F7393E300}" presName="rootConnector" presStyleLbl="node2" presStyleIdx="0" presStyleCnt="1"/>
      <dgm:spPr/>
    </dgm:pt>
    <dgm:pt modelId="{D722D254-2B6B-4738-898E-1F09A215366F}" type="pres">
      <dgm:prSet presAssocID="{D6D63AC7-C16A-453F-A391-926F7393E300}" presName="hierChild4" presStyleCnt="0"/>
      <dgm:spPr/>
    </dgm:pt>
    <dgm:pt modelId="{47E050E3-D092-4C2C-9B21-9243960051FA}" type="pres">
      <dgm:prSet presAssocID="{4A118931-D35F-4FA6-A428-6E6DA93DA827}" presName="Name50" presStyleLbl="parChTrans1D3" presStyleIdx="0" presStyleCnt="3"/>
      <dgm:spPr/>
    </dgm:pt>
    <dgm:pt modelId="{1733D72F-275C-4446-8450-9897CE553969}" type="pres">
      <dgm:prSet presAssocID="{9EE9FB1B-C89B-496E-936B-3C6C30706A31}" presName="hierRoot2" presStyleCnt="0">
        <dgm:presLayoutVars>
          <dgm:hierBranch val="init"/>
        </dgm:presLayoutVars>
      </dgm:prSet>
      <dgm:spPr/>
    </dgm:pt>
    <dgm:pt modelId="{BC0635E0-A6A4-4A58-8810-4DAA7FC863F7}" type="pres">
      <dgm:prSet presAssocID="{9EE9FB1B-C89B-496E-936B-3C6C30706A31}" presName="rootComposite" presStyleCnt="0"/>
      <dgm:spPr/>
    </dgm:pt>
    <dgm:pt modelId="{8784A2BE-3D21-4A81-93FE-B81D4D8CF7BF}" type="pres">
      <dgm:prSet presAssocID="{9EE9FB1B-C89B-496E-936B-3C6C30706A31}" presName="rootText" presStyleLbl="node3" presStyleIdx="0" presStyleCnt="3" custLinFactX="-30790" custLinFactNeighborX="-100000" custLinFactNeighborY="2565">
        <dgm:presLayoutVars>
          <dgm:chPref val="3"/>
        </dgm:presLayoutVars>
      </dgm:prSet>
      <dgm:spPr/>
    </dgm:pt>
    <dgm:pt modelId="{33BA93B0-E97A-4416-9A5F-D7E39DD74CC8}" type="pres">
      <dgm:prSet presAssocID="{9EE9FB1B-C89B-496E-936B-3C6C30706A31}" presName="rootConnector" presStyleLbl="node3" presStyleIdx="0" presStyleCnt="3"/>
      <dgm:spPr/>
    </dgm:pt>
    <dgm:pt modelId="{09175585-F9F1-4D38-B3DE-BE340C609E34}" type="pres">
      <dgm:prSet presAssocID="{9EE9FB1B-C89B-496E-936B-3C6C30706A31}" presName="hierChild4" presStyleCnt="0"/>
      <dgm:spPr/>
    </dgm:pt>
    <dgm:pt modelId="{938337D2-D02C-4351-B555-0E5485783325}" type="pres">
      <dgm:prSet presAssocID="{9EE9FB1B-C89B-496E-936B-3C6C30706A31}" presName="hierChild5" presStyleCnt="0"/>
      <dgm:spPr/>
    </dgm:pt>
    <dgm:pt modelId="{C739DD17-2968-481B-9A4D-CCE801755E9D}" type="pres">
      <dgm:prSet presAssocID="{EF4A8FA2-CD03-4CC5-846B-CE22EE717F27}" presName="Name50" presStyleLbl="parChTrans1D3" presStyleIdx="1" presStyleCnt="3"/>
      <dgm:spPr/>
    </dgm:pt>
    <dgm:pt modelId="{DC6328A7-AFE1-4AA4-88D9-3B730ADDE346}" type="pres">
      <dgm:prSet presAssocID="{B76E64F5-7FDE-4AF3-B929-B66F4218A686}" presName="hierRoot2" presStyleCnt="0">
        <dgm:presLayoutVars>
          <dgm:hierBranch val="init"/>
        </dgm:presLayoutVars>
      </dgm:prSet>
      <dgm:spPr/>
    </dgm:pt>
    <dgm:pt modelId="{00719864-4812-4505-ABE0-3D540F5E6494}" type="pres">
      <dgm:prSet presAssocID="{B76E64F5-7FDE-4AF3-B929-B66F4218A686}" presName="rootComposite" presStyleCnt="0"/>
      <dgm:spPr/>
    </dgm:pt>
    <dgm:pt modelId="{6D638526-AD8B-43AE-9FF9-CA58953CF768}" type="pres">
      <dgm:prSet presAssocID="{B76E64F5-7FDE-4AF3-B929-B66F4218A686}" presName="rootText" presStyleLbl="node3" presStyleIdx="1" presStyleCnt="3" custLinFactNeighborY="-92322">
        <dgm:presLayoutVars>
          <dgm:chPref val="3"/>
        </dgm:presLayoutVars>
      </dgm:prSet>
      <dgm:spPr/>
    </dgm:pt>
    <dgm:pt modelId="{E155D628-85CD-406E-9A89-EC3590BBFD56}" type="pres">
      <dgm:prSet presAssocID="{B76E64F5-7FDE-4AF3-B929-B66F4218A686}" presName="rootConnector" presStyleLbl="node3" presStyleIdx="1" presStyleCnt="3"/>
      <dgm:spPr/>
    </dgm:pt>
    <dgm:pt modelId="{4EE8B99C-2EBF-48D9-AB65-8385F69E277F}" type="pres">
      <dgm:prSet presAssocID="{B76E64F5-7FDE-4AF3-B929-B66F4218A686}" presName="hierChild4" presStyleCnt="0"/>
      <dgm:spPr/>
    </dgm:pt>
    <dgm:pt modelId="{4E482E41-0F30-4CCE-9625-FA4665F548B8}" type="pres">
      <dgm:prSet presAssocID="{B76E64F5-7FDE-4AF3-B929-B66F4218A686}" presName="hierChild5" presStyleCnt="0"/>
      <dgm:spPr/>
    </dgm:pt>
    <dgm:pt modelId="{DFC5F429-E8A6-4861-8700-1D99744988E1}" type="pres">
      <dgm:prSet presAssocID="{680149DF-33CB-4578-A045-B0371744CFC3}" presName="Name50" presStyleLbl="parChTrans1D3" presStyleIdx="2" presStyleCnt="3"/>
      <dgm:spPr/>
    </dgm:pt>
    <dgm:pt modelId="{6D5E7DA1-4C2B-4540-B0B2-03618C011646}" type="pres">
      <dgm:prSet presAssocID="{6DDC3CB5-431A-4297-A42C-DA53606662AB}" presName="hierRoot2" presStyleCnt="0">
        <dgm:presLayoutVars>
          <dgm:hierBranch val="init"/>
        </dgm:presLayoutVars>
      </dgm:prSet>
      <dgm:spPr/>
    </dgm:pt>
    <dgm:pt modelId="{933B13EC-1DE8-4416-864C-04CBC5258E01}" type="pres">
      <dgm:prSet presAssocID="{6DDC3CB5-431A-4297-A42C-DA53606662AB}" presName="rootComposite" presStyleCnt="0"/>
      <dgm:spPr/>
    </dgm:pt>
    <dgm:pt modelId="{26A5B564-E71D-4AB4-9117-5C3947FFF6D9}" type="pres">
      <dgm:prSet presAssocID="{6DDC3CB5-431A-4297-A42C-DA53606662AB}" presName="rootText" presStyleLbl="node3" presStyleIdx="2" presStyleCnt="3" custLinFactX="-30790" custLinFactY="-62846" custLinFactNeighborX="-100000" custLinFactNeighborY="-100000">
        <dgm:presLayoutVars>
          <dgm:chPref val="3"/>
        </dgm:presLayoutVars>
      </dgm:prSet>
      <dgm:spPr/>
    </dgm:pt>
    <dgm:pt modelId="{B15D6AF5-959C-4302-A76E-818E2002ABFF}" type="pres">
      <dgm:prSet presAssocID="{6DDC3CB5-431A-4297-A42C-DA53606662AB}" presName="rootConnector" presStyleLbl="node3" presStyleIdx="2" presStyleCnt="3"/>
      <dgm:spPr/>
    </dgm:pt>
    <dgm:pt modelId="{AA8A7403-403C-4D89-AA93-6F8B0C382FB2}" type="pres">
      <dgm:prSet presAssocID="{6DDC3CB5-431A-4297-A42C-DA53606662AB}" presName="hierChild4" presStyleCnt="0"/>
      <dgm:spPr/>
    </dgm:pt>
    <dgm:pt modelId="{FE4CF94F-D7AB-4041-B356-6665F25DC55B}" type="pres">
      <dgm:prSet presAssocID="{6DDC3CB5-431A-4297-A42C-DA53606662AB}" presName="hierChild5" presStyleCnt="0"/>
      <dgm:spPr/>
    </dgm:pt>
    <dgm:pt modelId="{AB08BCD2-6731-4315-9B2F-633DE1EB5344}" type="pres">
      <dgm:prSet presAssocID="{D6D63AC7-C16A-453F-A391-926F7393E300}" presName="hierChild5" presStyleCnt="0"/>
      <dgm:spPr/>
    </dgm:pt>
    <dgm:pt modelId="{81B7E684-84C1-47AF-A82A-0EAED9A78E5E}" type="pres">
      <dgm:prSet presAssocID="{5B1E1861-27C8-4E8D-805A-FDAC192E7FB5}" presName="hierChild3" presStyleCnt="0"/>
      <dgm:spPr/>
    </dgm:pt>
  </dgm:ptLst>
  <dgm:cxnLst>
    <dgm:cxn modelId="{816FCC0D-790A-4A79-B4E7-0C87ADBACD3C}" type="presOf" srcId="{B76E64F5-7FDE-4AF3-B929-B66F4218A686}" destId="{E155D628-85CD-406E-9A89-EC3590BBFD56}" srcOrd="1" destOrd="0" presId="urn:microsoft.com/office/officeart/2005/8/layout/orgChart1"/>
    <dgm:cxn modelId="{C59D1B1C-8F3F-4977-9FD1-85CEF0AD83CA}" type="presOf" srcId="{5B1E1861-27C8-4E8D-805A-FDAC192E7FB5}" destId="{C52FEA37-6A59-45AA-A3BF-93A551FBE7ED}" srcOrd="0" destOrd="0" presId="urn:microsoft.com/office/officeart/2005/8/layout/orgChart1"/>
    <dgm:cxn modelId="{0A8C821E-B904-48D6-A551-E53008F2BC8B}" srcId="{D6D63AC7-C16A-453F-A391-926F7393E300}" destId="{B76E64F5-7FDE-4AF3-B929-B66F4218A686}" srcOrd="1" destOrd="0" parTransId="{EF4A8FA2-CD03-4CC5-846B-CE22EE717F27}" sibTransId="{EAEC3C99-8F77-49B1-958B-D15940FFB4BA}"/>
    <dgm:cxn modelId="{94B56222-606B-4670-B006-E712B29439F6}" type="presOf" srcId="{6DDC3CB5-431A-4297-A42C-DA53606662AB}" destId="{26A5B564-E71D-4AB4-9117-5C3947FFF6D9}" srcOrd="0" destOrd="0" presId="urn:microsoft.com/office/officeart/2005/8/layout/orgChart1"/>
    <dgm:cxn modelId="{F9CBAD3C-B3C1-4858-B150-CA0E7B28A02E}" srcId="{5B1E1861-27C8-4E8D-805A-FDAC192E7FB5}" destId="{D6D63AC7-C16A-453F-A391-926F7393E300}" srcOrd="0" destOrd="0" parTransId="{67FF0069-6F06-44FF-B43A-0BF018D65715}" sibTransId="{4EC884A5-EDAE-444F-A3CF-A58ACCDA08C9}"/>
    <dgm:cxn modelId="{AD2D703F-9F90-4439-8291-64B6B2AC510D}" type="presOf" srcId="{6DDC3CB5-431A-4297-A42C-DA53606662AB}" destId="{B15D6AF5-959C-4302-A76E-818E2002ABFF}" srcOrd="1" destOrd="0" presId="urn:microsoft.com/office/officeart/2005/8/layout/orgChart1"/>
    <dgm:cxn modelId="{F08F9E61-24F8-4967-93C2-F950063398F5}" type="presOf" srcId="{D6D63AC7-C16A-453F-A391-926F7393E300}" destId="{39CB46F9-CCBF-487F-B8F3-2811942A44D0}" srcOrd="0" destOrd="0" presId="urn:microsoft.com/office/officeart/2005/8/layout/orgChart1"/>
    <dgm:cxn modelId="{4FA83766-561D-458F-8E1B-85679BE962B8}" type="presOf" srcId="{680149DF-33CB-4578-A045-B0371744CFC3}" destId="{DFC5F429-E8A6-4861-8700-1D99744988E1}" srcOrd="0" destOrd="0" presId="urn:microsoft.com/office/officeart/2005/8/layout/orgChart1"/>
    <dgm:cxn modelId="{07213B49-2B8D-4CAE-9F60-32DB85B04C05}" type="presOf" srcId="{5B1E1861-27C8-4E8D-805A-FDAC192E7FB5}" destId="{13ACEBF8-690C-4509-8892-0DED4B825AAB}" srcOrd="1" destOrd="0" presId="urn:microsoft.com/office/officeart/2005/8/layout/orgChart1"/>
    <dgm:cxn modelId="{8335676E-811F-4901-BECE-9E2CB113AE95}" type="presOf" srcId="{D6D63AC7-C16A-453F-A391-926F7393E300}" destId="{A05C4CA3-6CAE-472C-A838-D9507412ACED}" srcOrd="1" destOrd="0" presId="urn:microsoft.com/office/officeart/2005/8/layout/orgChart1"/>
    <dgm:cxn modelId="{9B8C6578-1688-4140-8751-9985A4F24CCB}" srcId="{C41B26BC-7BAA-4183-BE9D-A11435B08BBA}" destId="{5B1E1861-27C8-4E8D-805A-FDAC192E7FB5}" srcOrd="0" destOrd="0" parTransId="{1473FE7E-7B56-4E51-8043-8AE71707C049}" sibTransId="{E68D6BBD-0B93-4C04-925B-2F4B04455C78}"/>
    <dgm:cxn modelId="{57E1218E-9564-4E7C-BC08-6DB76E6C9BDC}" type="presOf" srcId="{B76E64F5-7FDE-4AF3-B929-B66F4218A686}" destId="{6D638526-AD8B-43AE-9FF9-CA58953CF768}" srcOrd="0" destOrd="0" presId="urn:microsoft.com/office/officeart/2005/8/layout/orgChart1"/>
    <dgm:cxn modelId="{65D13890-30D3-4681-B88B-93BD410530F2}" type="presOf" srcId="{67FF0069-6F06-44FF-B43A-0BF018D65715}" destId="{92D71704-D341-4FB2-BAA1-4D950806003E}" srcOrd="0" destOrd="0" presId="urn:microsoft.com/office/officeart/2005/8/layout/orgChart1"/>
    <dgm:cxn modelId="{EA5EC996-FBD5-43CC-897E-E1EC4B1F5572}" srcId="{D6D63AC7-C16A-453F-A391-926F7393E300}" destId="{9EE9FB1B-C89B-496E-936B-3C6C30706A31}" srcOrd="0" destOrd="0" parTransId="{4A118931-D35F-4FA6-A428-6E6DA93DA827}" sibTransId="{293A1572-4979-4B00-B291-F8D1EFA1D1C8}"/>
    <dgm:cxn modelId="{43A94AA9-2238-4AFF-ABA3-9D32717E455A}" type="presOf" srcId="{EF4A8FA2-CD03-4CC5-846B-CE22EE717F27}" destId="{C739DD17-2968-481B-9A4D-CCE801755E9D}" srcOrd="0" destOrd="0" presId="urn:microsoft.com/office/officeart/2005/8/layout/orgChart1"/>
    <dgm:cxn modelId="{79BEBDBE-61CE-43D3-8D18-8C3E7EEB4F56}" type="presOf" srcId="{9EE9FB1B-C89B-496E-936B-3C6C30706A31}" destId="{33BA93B0-E97A-4416-9A5F-D7E39DD74CC8}" srcOrd="1" destOrd="0" presId="urn:microsoft.com/office/officeart/2005/8/layout/orgChart1"/>
    <dgm:cxn modelId="{2999EEC3-EB4E-4F5E-849F-E65D400DACAC}" type="presOf" srcId="{C41B26BC-7BAA-4183-BE9D-A11435B08BBA}" destId="{9EEBF319-EE1E-4854-9C6B-64136CA4455D}" srcOrd="0" destOrd="0" presId="urn:microsoft.com/office/officeart/2005/8/layout/orgChart1"/>
    <dgm:cxn modelId="{DB93ABCC-2D31-4A9E-A486-B21E65913C72}" srcId="{D6D63AC7-C16A-453F-A391-926F7393E300}" destId="{6DDC3CB5-431A-4297-A42C-DA53606662AB}" srcOrd="2" destOrd="0" parTransId="{680149DF-33CB-4578-A045-B0371744CFC3}" sibTransId="{FCE8A0DC-D435-4AB9-A250-E9665DCD6F0A}"/>
    <dgm:cxn modelId="{3F9439F3-33DC-452F-8F1F-73F5FACF5B14}" type="presOf" srcId="{9EE9FB1B-C89B-496E-936B-3C6C30706A31}" destId="{8784A2BE-3D21-4A81-93FE-B81D4D8CF7BF}" srcOrd="0" destOrd="0" presId="urn:microsoft.com/office/officeart/2005/8/layout/orgChart1"/>
    <dgm:cxn modelId="{F34861FE-6A51-4BCD-A4ED-8CAA54F1A6D4}" type="presOf" srcId="{4A118931-D35F-4FA6-A428-6E6DA93DA827}" destId="{47E050E3-D092-4C2C-9B21-9243960051FA}" srcOrd="0" destOrd="0" presId="urn:microsoft.com/office/officeart/2005/8/layout/orgChart1"/>
    <dgm:cxn modelId="{8EDEE748-8B5D-40A0-9960-0DD5BCC5DC72}" type="presParOf" srcId="{9EEBF319-EE1E-4854-9C6B-64136CA4455D}" destId="{0D83A1D5-0462-49D2-B672-0CF8CDD661F7}" srcOrd="0" destOrd="0" presId="urn:microsoft.com/office/officeart/2005/8/layout/orgChart1"/>
    <dgm:cxn modelId="{6D2689D2-88B8-44AF-B20F-F6680CC15CC3}" type="presParOf" srcId="{0D83A1D5-0462-49D2-B672-0CF8CDD661F7}" destId="{E103FF9E-ABAD-4B31-A8E1-B13A91980125}" srcOrd="0" destOrd="0" presId="urn:microsoft.com/office/officeart/2005/8/layout/orgChart1"/>
    <dgm:cxn modelId="{1FDECBA7-7693-4379-A4D1-96F418D48458}" type="presParOf" srcId="{E103FF9E-ABAD-4B31-A8E1-B13A91980125}" destId="{C52FEA37-6A59-45AA-A3BF-93A551FBE7ED}" srcOrd="0" destOrd="0" presId="urn:microsoft.com/office/officeart/2005/8/layout/orgChart1"/>
    <dgm:cxn modelId="{2EECFA0F-A9BC-421C-AFAD-65B53C4C45DA}" type="presParOf" srcId="{E103FF9E-ABAD-4B31-A8E1-B13A91980125}" destId="{13ACEBF8-690C-4509-8892-0DED4B825AAB}" srcOrd="1" destOrd="0" presId="urn:microsoft.com/office/officeart/2005/8/layout/orgChart1"/>
    <dgm:cxn modelId="{A05C7CAD-15BA-421E-9BEF-0FBFAB20BA8C}" type="presParOf" srcId="{0D83A1D5-0462-49D2-B672-0CF8CDD661F7}" destId="{1B413142-B416-43D0-B652-809479BE94A9}" srcOrd="1" destOrd="0" presId="urn:microsoft.com/office/officeart/2005/8/layout/orgChart1"/>
    <dgm:cxn modelId="{71252D1E-28FC-4F0D-B3D1-D299C9F31C33}" type="presParOf" srcId="{1B413142-B416-43D0-B652-809479BE94A9}" destId="{92D71704-D341-4FB2-BAA1-4D950806003E}" srcOrd="0" destOrd="0" presId="urn:microsoft.com/office/officeart/2005/8/layout/orgChart1"/>
    <dgm:cxn modelId="{A3BEA576-FADF-4A4F-AC1D-C12A47A18156}" type="presParOf" srcId="{1B413142-B416-43D0-B652-809479BE94A9}" destId="{8C49FC1E-6DA6-439A-84DC-304FE6CD45F6}" srcOrd="1" destOrd="0" presId="urn:microsoft.com/office/officeart/2005/8/layout/orgChart1"/>
    <dgm:cxn modelId="{73E74FB2-06B7-46D1-A592-3CE1D2AE4282}" type="presParOf" srcId="{8C49FC1E-6DA6-439A-84DC-304FE6CD45F6}" destId="{499ECA0D-88B6-4524-A434-1DB1EF5C753D}" srcOrd="0" destOrd="0" presId="urn:microsoft.com/office/officeart/2005/8/layout/orgChart1"/>
    <dgm:cxn modelId="{9A9291DE-23DD-4AB5-99E2-2F99EADD735A}" type="presParOf" srcId="{499ECA0D-88B6-4524-A434-1DB1EF5C753D}" destId="{39CB46F9-CCBF-487F-B8F3-2811942A44D0}" srcOrd="0" destOrd="0" presId="urn:microsoft.com/office/officeart/2005/8/layout/orgChart1"/>
    <dgm:cxn modelId="{751EA032-510A-439D-AA31-A4D2AE7C4E62}" type="presParOf" srcId="{499ECA0D-88B6-4524-A434-1DB1EF5C753D}" destId="{A05C4CA3-6CAE-472C-A838-D9507412ACED}" srcOrd="1" destOrd="0" presId="urn:microsoft.com/office/officeart/2005/8/layout/orgChart1"/>
    <dgm:cxn modelId="{4FA1B0F5-2101-4C30-A246-7AA9FA3C756A}" type="presParOf" srcId="{8C49FC1E-6DA6-439A-84DC-304FE6CD45F6}" destId="{D722D254-2B6B-4738-898E-1F09A215366F}" srcOrd="1" destOrd="0" presId="urn:microsoft.com/office/officeart/2005/8/layout/orgChart1"/>
    <dgm:cxn modelId="{A9DDCDDA-A203-4E39-9E61-ECD3BB7FB018}" type="presParOf" srcId="{D722D254-2B6B-4738-898E-1F09A215366F}" destId="{47E050E3-D092-4C2C-9B21-9243960051FA}" srcOrd="0" destOrd="0" presId="urn:microsoft.com/office/officeart/2005/8/layout/orgChart1"/>
    <dgm:cxn modelId="{AAB71BAC-4D02-4A2F-93F4-BF41EDAED589}" type="presParOf" srcId="{D722D254-2B6B-4738-898E-1F09A215366F}" destId="{1733D72F-275C-4446-8450-9897CE553969}" srcOrd="1" destOrd="0" presId="urn:microsoft.com/office/officeart/2005/8/layout/orgChart1"/>
    <dgm:cxn modelId="{16CC484A-0075-48B2-96FB-A88EFC2BD1D2}" type="presParOf" srcId="{1733D72F-275C-4446-8450-9897CE553969}" destId="{BC0635E0-A6A4-4A58-8810-4DAA7FC863F7}" srcOrd="0" destOrd="0" presId="urn:microsoft.com/office/officeart/2005/8/layout/orgChart1"/>
    <dgm:cxn modelId="{1C826040-0E7D-4C98-BFCD-DF796D157883}" type="presParOf" srcId="{BC0635E0-A6A4-4A58-8810-4DAA7FC863F7}" destId="{8784A2BE-3D21-4A81-93FE-B81D4D8CF7BF}" srcOrd="0" destOrd="0" presId="urn:microsoft.com/office/officeart/2005/8/layout/orgChart1"/>
    <dgm:cxn modelId="{49C7DF5C-1436-4997-A4EE-1498BD17E53A}" type="presParOf" srcId="{BC0635E0-A6A4-4A58-8810-4DAA7FC863F7}" destId="{33BA93B0-E97A-4416-9A5F-D7E39DD74CC8}" srcOrd="1" destOrd="0" presId="urn:microsoft.com/office/officeart/2005/8/layout/orgChart1"/>
    <dgm:cxn modelId="{39A64004-FE75-4E9F-8509-15D323E538A6}" type="presParOf" srcId="{1733D72F-275C-4446-8450-9897CE553969}" destId="{09175585-F9F1-4D38-B3DE-BE340C609E34}" srcOrd="1" destOrd="0" presId="urn:microsoft.com/office/officeart/2005/8/layout/orgChart1"/>
    <dgm:cxn modelId="{F9460998-4070-46AF-9023-575433E0D6E0}" type="presParOf" srcId="{1733D72F-275C-4446-8450-9897CE553969}" destId="{938337D2-D02C-4351-B555-0E5485783325}" srcOrd="2" destOrd="0" presId="urn:microsoft.com/office/officeart/2005/8/layout/orgChart1"/>
    <dgm:cxn modelId="{4F2658C2-0A3C-42CA-A006-F7B4B9F47144}" type="presParOf" srcId="{D722D254-2B6B-4738-898E-1F09A215366F}" destId="{C739DD17-2968-481B-9A4D-CCE801755E9D}" srcOrd="2" destOrd="0" presId="urn:microsoft.com/office/officeart/2005/8/layout/orgChart1"/>
    <dgm:cxn modelId="{149343BA-670E-4959-BD1C-A6E79C38E57A}" type="presParOf" srcId="{D722D254-2B6B-4738-898E-1F09A215366F}" destId="{DC6328A7-AFE1-4AA4-88D9-3B730ADDE346}" srcOrd="3" destOrd="0" presId="urn:microsoft.com/office/officeart/2005/8/layout/orgChart1"/>
    <dgm:cxn modelId="{425564E2-7277-4788-96A4-451B59DB0BFE}" type="presParOf" srcId="{DC6328A7-AFE1-4AA4-88D9-3B730ADDE346}" destId="{00719864-4812-4505-ABE0-3D540F5E6494}" srcOrd="0" destOrd="0" presId="urn:microsoft.com/office/officeart/2005/8/layout/orgChart1"/>
    <dgm:cxn modelId="{8486D73D-BE00-4F13-82AB-1E168807CB62}" type="presParOf" srcId="{00719864-4812-4505-ABE0-3D540F5E6494}" destId="{6D638526-AD8B-43AE-9FF9-CA58953CF768}" srcOrd="0" destOrd="0" presId="urn:microsoft.com/office/officeart/2005/8/layout/orgChart1"/>
    <dgm:cxn modelId="{11914340-D9B5-4D1B-B965-1048B8CCB0DD}" type="presParOf" srcId="{00719864-4812-4505-ABE0-3D540F5E6494}" destId="{E155D628-85CD-406E-9A89-EC3590BBFD56}" srcOrd="1" destOrd="0" presId="urn:microsoft.com/office/officeart/2005/8/layout/orgChart1"/>
    <dgm:cxn modelId="{B1B45ECF-A215-453D-8785-8A07D65B44CA}" type="presParOf" srcId="{DC6328A7-AFE1-4AA4-88D9-3B730ADDE346}" destId="{4EE8B99C-2EBF-48D9-AB65-8385F69E277F}" srcOrd="1" destOrd="0" presId="urn:microsoft.com/office/officeart/2005/8/layout/orgChart1"/>
    <dgm:cxn modelId="{790013F0-5816-40D7-ACC2-9F90F4D0EAE3}" type="presParOf" srcId="{DC6328A7-AFE1-4AA4-88D9-3B730ADDE346}" destId="{4E482E41-0F30-4CCE-9625-FA4665F548B8}" srcOrd="2" destOrd="0" presId="urn:microsoft.com/office/officeart/2005/8/layout/orgChart1"/>
    <dgm:cxn modelId="{CCF028E8-158F-492E-A1EE-2C3E9B7962B3}" type="presParOf" srcId="{D722D254-2B6B-4738-898E-1F09A215366F}" destId="{DFC5F429-E8A6-4861-8700-1D99744988E1}" srcOrd="4" destOrd="0" presId="urn:microsoft.com/office/officeart/2005/8/layout/orgChart1"/>
    <dgm:cxn modelId="{5F5E2870-FD5D-433A-9C4A-866F394394FC}" type="presParOf" srcId="{D722D254-2B6B-4738-898E-1F09A215366F}" destId="{6D5E7DA1-4C2B-4540-B0B2-03618C011646}" srcOrd="5" destOrd="0" presId="urn:microsoft.com/office/officeart/2005/8/layout/orgChart1"/>
    <dgm:cxn modelId="{6D1A0808-24EA-475D-A949-654BA7459F01}" type="presParOf" srcId="{6D5E7DA1-4C2B-4540-B0B2-03618C011646}" destId="{933B13EC-1DE8-4416-864C-04CBC5258E01}" srcOrd="0" destOrd="0" presId="urn:microsoft.com/office/officeart/2005/8/layout/orgChart1"/>
    <dgm:cxn modelId="{80922094-D3BA-42CE-B2D7-ADDD6F85D5B9}" type="presParOf" srcId="{933B13EC-1DE8-4416-864C-04CBC5258E01}" destId="{26A5B564-E71D-4AB4-9117-5C3947FFF6D9}" srcOrd="0" destOrd="0" presId="urn:microsoft.com/office/officeart/2005/8/layout/orgChart1"/>
    <dgm:cxn modelId="{00FBF193-EB9B-4F03-A878-48C767585E85}" type="presParOf" srcId="{933B13EC-1DE8-4416-864C-04CBC5258E01}" destId="{B15D6AF5-959C-4302-A76E-818E2002ABFF}" srcOrd="1" destOrd="0" presId="urn:microsoft.com/office/officeart/2005/8/layout/orgChart1"/>
    <dgm:cxn modelId="{070B3F63-83B6-4484-B328-6EAD9447E99D}" type="presParOf" srcId="{6D5E7DA1-4C2B-4540-B0B2-03618C011646}" destId="{AA8A7403-403C-4D89-AA93-6F8B0C382FB2}" srcOrd="1" destOrd="0" presId="urn:microsoft.com/office/officeart/2005/8/layout/orgChart1"/>
    <dgm:cxn modelId="{D0697C7D-CCA5-4F24-94E7-BF18D297B85D}" type="presParOf" srcId="{6D5E7DA1-4C2B-4540-B0B2-03618C011646}" destId="{FE4CF94F-D7AB-4041-B356-6665F25DC55B}" srcOrd="2" destOrd="0" presId="urn:microsoft.com/office/officeart/2005/8/layout/orgChart1"/>
    <dgm:cxn modelId="{37B0658C-BCAB-4C33-8249-813546CF8FA0}" type="presParOf" srcId="{8C49FC1E-6DA6-439A-84DC-304FE6CD45F6}" destId="{AB08BCD2-6731-4315-9B2F-633DE1EB5344}" srcOrd="2" destOrd="0" presId="urn:microsoft.com/office/officeart/2005/8/layout/orgChart1"/>
    <dgm:cxn modelId="{02B9876A-F602-4164-A5B0-DBF1EEE19688}" type="presParOf" srcId="{0D83A1D5-0462-49D2-B672-0CF8CDD661F7}" destId="{81B7E684-84C1-47AF-A82A-0EAED9A78E5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C5F429-E8A6-4861-8700-1D99744988E1}">
      <dsp:nvSpPr>
        <dsp:cNvPr id="0" name=""/>
        <dsp:cNvSpPr/>
      </dsp:nvSpPr>
      <dsp:spPr>
        <a:xfrm>
          <a:off x="1547664" y="1797856"/>
          <a:ext cx="234586" cy="1583377"/>
        </a:xfrm>
        <a:custGeom>
          <a:avLst/>
          <a:gdLst/>
          <a:ahLst/>
          <a:cxnLst/>
          <a:rect l="0" t="0" r="0" b="0"/>
          <a:pathLst>
            <a:path>
              <a:moveTo>
                <a:pt x="234586" y="0"/>
              </a:moveTo>
              <a:lnTo>
                <a:pt x="234586" y="1583377"/>
              </a:lnTo>
              <a:lnTo>
                <a:pt x="0" y="15833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9DD17-2968-481B-9A4D-CCE801755E9D}">
      <dsp:nvSpPr>
        <dsp:cNvPr id="0" name=""/>
        <dsp:cNvSpPr/>
      </dsp:nvSpPr>
      <dsp:spPr>
        <a:xfrm>
          <a:off x="1782250" y="1797856"/>
          <a:ext cx="222849" cy="1052430"/>
        </a:xfrm>
        <a:custGeom>
          <a:avLst/>
          <a:gdLst/>
          <a:ahLst/>
          <a:cxnLst/>
          <a:rect l="0" t="0" r="0" b="0"/>
          <a:pathLst>
            <a:path>
              <a:moveTo>
                <a:pt x="0" y="0"/>
              </a:moveTo>
              <a:lnTo>
                <a:pt x="0" y="1052430"/>
              </a:lnTo>
              <a:lnTo>
                <a:pt x="222849" y="10524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E050E3-D092-4C2C-9B21-9243960051FA}">
      <dsp:nvSpPr>
        <dsp:cNvPr id="0" name=""/>
        <dsp:cNvSpPr/>
      </dsp:nvSpPr>
      <dsp:spPr>
        <a:xfrm>
          <a:off x="1547664" y="1797856"/>
          <a:ext cx="234586" cy="702459"/>
        </a:xfrm>
        <a:custGeom>
          <a:avLst/>
          <a:gdLst/>
          <a:ahLst/>
          <a:cxnLst/>
          <a:rect l="0" t="0" r="0" b="0"/>
          <a:pathLst>
            <a:path>
              <a:moveTo>
                <a:pt x="234586" y="0"/>
              </a:moveTo>
              <a:lnTo>
                <a:pt x="234586" y="702459"/>
              </a:lnTo>
              <a:lnTo>
                <a:pt x="0" y="7024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71704-D341-4FB2-BAA1-4D950806003E}">
      <dsp:nvSpPr>
        <dsp:cNvPr id="0" name=""/>
        <dsp:cNvSpPr/>
      </dsp:nvSpPr>
      <dsp:spPr>
        <a:xfrm>
          <a:off x="2330796" y="743034"/>
          <a:ext cx="91440" cy="311989"/>
        </a:xfrm>
        <a:custGeom>
          <a:avLst/>
          <a:gdLst/>
          <a:ahLst/>
          <a:cxnLst/>
          <a:rect l="0" t="0" r="0" b="0"/>
          <a:pathLst>
            <a:path>
              <a:moveTo>
                <a:pt x="45720" y="0"/>
              </a:moveTo>
              <a:lnTo>
                <a:pt x="45720" y="3119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2FEA37-6A59-45AA-A3BF-93A551FBE7ED}">
      <dsp:nvSpPr>
        <dsp:cNvPr id="0" name=""/>
        <dsp:cNvSpPr/>
      </dsp:nvSpPr>
      <dsp:spPr>
        <a:xfrm>
          <a:off x="1633684" y="201"/>
          <a:ext cx="1485665" cy="74283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AU" sz="900" b="0" i="0" u="none" strike="noStrike" kern="1200" baseline="0">
              <a:solidFill>
                <a:sysClr val="window" lastClr="FFFFFF"/>
              </a:solidFill>
              <a:latin typeface="+mn-lt"/>
              <a:ea typeface="+mn-ea"/>
              <a:cs typeface="+mn-cs"/>
            </a:rPr>
            <a:t>General Manager</a:t>
          </a:r>
        </a:p>
        <a:p>
          <a:pPr marL="0" marR="0" lvl="0" indent="0" algn="ctr" defTabSz="400050" rtl="0">
            <a:lnSpc>
              <a:spcPct val="90000"/>
            </a:lnSpc>
            <a:spcBef>
              <a:spcPct val="0"/>
            </a:spcBef>
            <a:spcAft>
              <a:spcPct val="35000"/>
            </a:spcAft>
            <a:buNone/>
          </a:pPr>
          <a:r>
            <a:rPr lang="en-AU" sz="900" b="0" i="0" u="none" strike="noStrike" kern="1200" baseline="0">
              <a:solidFill>
                <a:sysClr val="window" lastClr="FFFFFF"/>
              </a:solidFill>
              <a:latin typeface="+mn-lt"/>
              <a:ea typeface="+mn-ea"/>
              <a:cs typeface="+mn-cs"/>
            </a:rPr>
            <a:t> Tax, Treasury and Financial Reporting</a:t>
          </a:r>
        </a:p>
      </dsp:txBody>
      <dsp:txXfrm>
        <a:off x="1633684" y="201"/>
        <a:ext cx="1485665" cy="742832"/>
      </dsp:txXfrm>
    </dsp:sp>
    <dsp:sp modelId="{39CB46F9-CCBF-487F-B8F3-2811942A44D0}">
      <dsp:nvSpPr>
        <dsp:cNvPr id="0" name=""/>
        <dsp:cNvSpPr/>
      </dsp:nvSpPr>
      <dsp:spPr>
        <a:xfrm>
          <a:off x="1633684" y="1055023"/>
          <a:ext cx="1485665" cy="742832"/>
        </a:xfrm>
        <a:prstGeom prst="rect">
          <a:avLst/>
        </a:prstGeom>
        <a:solidFill>
          <a:srgbClr val="4F81BD">
            <a:hueOff val="0"/>
            <a:satOff val="0"/>
            <a:lumOff val="0"/>
            <a:alphaOff val="0"/>
          </a:srgbClr>
        </a:solidFill>
        <a:ln w="25400" cap="flat" cmpd="sng" algn="ctr">
          <a:solidFill>
            <a:schemeClr val="tx2">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AU" sz="900" b="1" i="0" u="none" strike="noStrike" kern="1200" baseline="0">
              <a:solidFill>
                <a:sysClr val="window" lastClr="FFFFFF"/>
              </a:solidFill>
              <a:latin typeface="+mn-lt"/>
              <a:ea typeface="+mn-ea"/>
              <a:cs typeface="+mn-cs"/>
            </a:rPr>
            <a:t>Financial Reporting Manager</a:t>
          </a:r>
        </a:p>
      </dsp:txBody>
      <dsp:txXfrm>
        <a:off x="1633684" y="1055023"/>
        <a:ext cx="1485665" cy="742832"/>
      </dsp:txXfrm>
    </dsp:sp>
    <dsp:sp modelId="{8784A2BE-3D21-4A81-93FE-B81D4D8CF7BF}">
      <dsp:nvSpPr>
        <dsp:cNvPr id="0" name=""/>
        <dsp:cNvSpPr/>
      </dsp:nvSpPr>
      <dsp:spPr>
        <a:xfrm>
          <a:off x="61999" y="2128899"/>
          <a:ext cx="1485665" cy="74283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0" i="0" u="none" strike="noStrike" kern="1200" baseline="0">
              <a:solidFill>
                <a:sysClr val="window" lastClr="FFFFFF"/>
              </a:solidFill>
              <a:latin typeface="+mn-lt"/>
              <a:ea typeface="+mn-ea"/>
              <a:cs typeface="+mn-cs"/>
            </a:rPr>
            <a:t>Senior Financial Accountant </a:t>
          </a:r>
        </a:p>
      </dsp:txBody>
      <dsp:txXfrm>
        <a:off x="61999" y="2128899"/>
        <a:ext cx="1485665" cy="742832"/>
      </dsp:txXfrm>
    </dsp:sp>
    <dsp:sp modelId="{6D638526-AD8B-43AE-9FF9-CA58953CF768}">
      <dsp:nvSpPr>
        <dsp:cNvPr id="0" name=""/>
        <dsp:cNvSpPr/>
      </dsp:nvSpPr>
      <dsp:spPr>
        <a:xfrm>
          <a:off x="2005100" y="2478870"/>
          <a:ext cx="1485665" cy="742832"/>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latin typeface="+mn-lt"/>
            </a:rPr>
            <a:t>Senior Financial and Sustainability Accountant</a:t>
          </a:r>
        </a:p>
      </dsp:txBody>
      <dsp:txXfrm>
        <a:off x="2005100" y="2478870"/>
        <a:ext cx="1485665" cy="742832"/>
      </dsp:txXfrm>
    </dsp:sp>
    <dsp:sp modelId="{26A5B564-E71D-4AB4-9117-5C3947FFF6D9}">
      <dsp:nvSpPr>
        <dsp:cNvPr id="0" name=""/>
        <dsp:cNvSpPr/>
      </dsp:nvSpPr>
      <dsp:spPr>
        <a:xfrm>
          <a:off x="61999" y="3009817"/>
          <a:ext cx="1485665" cy="74283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0" i="0" u="none" strike="noStrike" kern="1200" baseline="0">
              <a:solidFill>
                <a:sysClr val="window" lastClr="FFFFFF"/>
              </a:solidFill>
              <a:latin typeface="+mn-lt"/>
              <a:ea typeface="+mn-ea"/>
              <a:cs typeface="+mn-cs"/>
            </a:rPr>
            <a:t>Financial Accountant</a:t>
          </a:r>
        </a:p>
      </dsp:txBody>
      <dsp:txXfrm>
        <a:off x="61999" y="3009817"/>
        <a:ext cx="1485665" cy="7428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6077d0-c1fa-4d58-9e3d-95903d9c42b4">
      <Terms xmlns="http://schemas.microsoft.com/office/infopath/2007/PartnerControls"/>
    </lcf76f155ced4ddcb4097134ff3c332f>
    <Notes xmlns="876077d0-c1fa-4d58-9e3d-95903d9c42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7104CA5BA72C479989ABC635882B72" ma:contentTypeVersion="15" ma:contentTypeDescription="Create a new document." ma:contentTypeScope="" ma:versionID="f59577f20134111f3fd7a565db33e871">
  <xsd:schema xmlns:xsd="http://www.w3.org/2001/XMLSchema" xmlns:xs="http://www.w3.org/2001/XMLSchema" xmlns:p="http://schemas.microsoft.com/office/2006/metadata/properties" xmlns:ns2="dfa23a4e-390d-4d3b-8be9-6e7448897da9" xmlns:ns3="876077d0-c1fa-4d58-9e3d-95903d9c42b4" targetNamespace="http://schemas.microsoft.com/office/2006/metadata/properties" ma:root="true" ma:fieldsID="77dbef3aaab4de40a6200fc5fa590d60" ns2:_="" ns3:_="">
    <xsd:import namespace="dfa23a4e-390d-4d3b-8be9-6e7448897da9"/>
    <xsd:import namespace="876077d0-c1fa-4d58-9e3d-95903d9c42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3a4e-390d-4d3b-8be9-6e7448897d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6077d0-c1fa-4d58-9e3d-95903d9c42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f32d6e-91c1-4c87-ad6c-1538cd7d8b4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otes" ma:index="22"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19710-5347-4329-8579-354089A34A8B}">
  <ds:schemaRefs>
    <ds:schemaRef ds:uri="http://schemas.microsoft.com/sharepoint/v3/contenttype/forms"/>
  </ds:schemaRefs>
</ds:datastoreItem>
</file>

<file path=customXml/itemProps2.xml><?xml version="1.0" encoding="utf-8"?>
<ds:datastoreItem xmlns:ds="http://schemas.openxmlformats.org/officeDocument/2006/customXml" ds:itemID="{EE87D507-39D4-4B2E-9B8E-53C507588143}">
  <ds:schemaRefs>
    <ds:schemaRef ds:uri="http://schemas.microsoft.com/office/2006/metadata/properties"/>
    <ds:schemaRef ds:uri="http://schemas.microsoft.com/office/infopath/2007/PartnerControls"/>
    <ds:schemaRef ds:uri="876077d0-c1fa-4d58-9e3d-95903d9c42b4"/>
  </ds:schemaRefs>
</ds:datastoreItem>
</file>

<file path=customXml/itemProps3.xml><?xml version="1.0" encoding="utf-8"?>
<ds:datastoreItem xmlns:ds="http://schemas.openxmlformats.org/officeDocument/2006/customXml" ds:itemID="{256FAF57-AB25-4FCE-B5D1-0F64056B8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23a4e-390d-4d3b-8be9-6e7448897da9"/>
    <ds:schemaRef ds:uri="876077d0-c1fa-4d58-9e3d-95903d9c4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24_96082</Template>
  <TotalTime>1</TotalTime>
  <Pages>4</Pages>
  <Words>1260</Words>
  <Characters>7187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Memarion</dc:creator>
  <cp:keywords/>
  <cp:lastModifiedBy>Rayat, Ingrid</cp:lastModifiedBy>
  <cp:revision>2</cp:revision>
  <dcterms:created xsi:type="dcterms:W3CDTF">2024-10-25T04:13:00Z</dcterms:created>
  <dcterms:modified xsi:type="dcterms:W3CDTF">2024-10-25T04:13:00Z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Adobe InDesign 19.0 (Macintosh)</vt:lpwstr>
  </property>
  <property fmtid="{D5CDD505-2E9C-101B-9397-08002B2CF9AE}" pid="4" name="LastSaved">
    <vt:filetime>2024-06-28T00:00:00Z</vt:filetime>
  </property>
  <property fmtid="{D5CDD505-2E9C-101B-9397-08002B2CF9AE}" pid="5" name="Producer">
    <vt:lpwstr>Adobe PDF Library 17.0</vt:lpwstr>
  </property>
  <property fmtid="{D5CDD505-2E9C-101B-9397-08002B2CF9AE}" pid="6" name="ContentTypeId">
    <vt:lpwstr>0x010100637104CA5BA72C479989ABC635882B72</vt:lpwstr>
  </property>
  <property fmtid="{D5CDD505-2E9C-101B-9397-08002B2CF9AE}" pid="7" name="MediaServiceImageTags">
    <vt:lpwstr/>
  </property>
</Properties>
</file>