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0EFFE" w14:textId="6B091703" w:rsidR="00372198" w:rsidRDefault="00C14A0F">
      <w:pPr>
        <w:spacing w:after="0" w:line="240" w:lineRule="auto"/>
        <w:rPr>
          <w:rFonts w:ascii="Arial" w:eastAsia="Arial" w:hAnsi="Arial" w:cs="Arial"/>
          <w:sz w:val="20"/>
          <w:szCs w:val="20"/>
        </w:rPr>
      </w:pPr>
      <w:r>
        <w:rPr>
          <w:noProof/>
        </w:rPr>
        <w:drawing>
          <wp:anchor distT="0" distB="0" distL="114300" distR="114300" simplePos="0" relativeHeight="251659264" behindDoc="0" locked="0" layoutInCell="1" allowOverlap="1" wp14:anchorId="13FC928A" wp14:editId="141A7751">
            <wp:simplePos x="0" y="0"/>
            <wp:positionH relativeFrom="column">
              <wp:posOffset>-746760</wp:posOffset>
            </wp:positionH>
            <wp:positionV relativeFrom="paragraph">
              <wp:posOffset>-1007110</wp:posOffset>
            </wp:positionV>
            <wp:extent cx="7750175" cy="291592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50175" cy="2915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3183">
        <w:rPr>
          <w:noProof/>
        </w:rPr>
        <w:drawing>
          <wp:anchor distT="0" distB="0" distL="114300" distR="114300" simplePos="0" relativeHeight="251660288" behindDoc="0" locked="0" layoutInCell="1" allowOverlap="1" wp14:anchorId="01B791DD" wp14:editId="56C4ADEC">
            <wp:simplePos x="0" y="0"/>
            <wp:positionH relativeFrom="column">
              <wp:posOffset>-101600</wp:posOffset>
            </wp:positionH>
            <wp:positionV relativeFrom="paragraph">
              <wp:posOffset>-508000</wp:posOffset>
            </wp:positionV>
            <wp:extent cx="1600200" cy="463550"/>
            <wp:effectExtent l="0" t="0" r="0" b="0"/>
            <wp:wrapNone/>
            <wp:docPr id="1" name="Picture 1" descr="\\ad.monash.edu\home\User084\sibyls\Documents\Brand Guidelines\Logos\2016-Monash_2-reversedKEYLINE_TO SEND 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d.monash.edu\home\User084\sibyls\Documents\Brand Guidelines\Logos\2016-Monash_2-reversedKEYLINE_TO SEND OUT.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463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A3B637" w14:textId="6F753838" w:rsidR="00372198" w:rsidRDefault="00372198">
      <w:pPr>
        <w:spacing w:before="240" w:after="240" w:line="240" w:lineRule="auto"/>
        <w:rPr>
          <w:rFonts w:ascii="Arial" w:eastAsia="Arial" w:hAnsi="Arial" w:cs="Arial"/>
          <w:b/>
          <w:color w:val="004F87"/>
          <w:sz w:val="44"/>
          <w:szCs w:val="44"/>
        </w:rPr>
      </w:pPr>
    </w:p>
    <w:p w14:paraId="5F925F1A" w14:textId="5BF15056" w:rsidR="00372198" w:rsidRDefault="00372198">
      <w:pPr>
        <w:spacing w:before="240" w:after="240" w:line="240" w:lineRule="auto"/>
        <w:rPr>
          <w:rFonts w:ascii="Arial" w:eastAsia="Arial" w:hAnsi="Arial" w:cs="Arial"/>
          <w:b/>
          <w:color w:val="004F87"/>
          <w:sz w:val="44"/>
          <w:szCs w:val="44"/>
        </w:rPr>
      </w:pPr>
    </w:p>
    <w:p w14:paraId="1B04E99F" w14:textId="127ED31B" w:rsidR="00C03183" w:rsidRDefault="001D2BFD">
      <w:pPr>
        <w:pStyle w:val="Title"/>
      </w:pPr>
      <w:r>
        <w:br/>
      </w:r>
    </w:p>
    <w:p w14:paraId="0D5763DB" w14:textId="1B4B7640" w:rsidR="00372198" w:rsidRPr="00C14A0F" w:rsidRDefault="00396C84">
      <w:pPr>
        <w:pStyle w:val="Title"/>
        <w:rPr>
          <w:rFonts w:ascii="Arial Narrow" w:eastAsia="Arial Narrow" w:hAnsi="Arial Narrow" w:cs="Arial Narrow"/>
          <w:color w:val="006DAE"/>
          <w:sz w:val="60"/>
          <w:szCs w:val="60"/>
          <w:lang w:eastAsia="en-AU"/>
        </w:rPr>
      </w:pPr>
      <w:r>
        <w:rPr>
          <w:rFonts w:ascii="Arial Narrow" w:eastAsia="Arial Narrow" w:hAnsi="Arial Narrow" w:cs="Arial Narrow"/>
          <w:color w:val="006DAE"/>
          <w:sz w:val="60"/>
          <w:szCs w:val="60"/>
          <w:lang w:eastAsia="en-AU"/>
        </w:rPr>
        <w:t xml:space="preserve">registry communications </w:t>
      </w:r>
      <w:r w:rsidR="00136314">
        <w:rPr>
          <w:rFonts w:ascii="Arial Narrow" w:eastAsia="Arial Narrow" w:hAnsi="Arial Narrow" w:cs="Arial Narrow"/>
          <w:color w:val="006DAE"/>
          <w:sz w:val="60"/>
          <w:szCs w:val="60"/>
          <w:lang w:eastAsia="en-AU"/>
        </w:rPr>
        <w:t>Research Officer</w:t>
      </w:r>
    </w:p>
    <w:tbl>
      <w:tblPr>
        <w:tblStyle w:val="a"/>
        <w:tblW w:w="9638" w:type="dxa"/>
        <w:tblLayout w:type="fixed"/>
        <w:tblLook w:val="0000" w:firstRow="0" w:lastRow="0" w:firstColumn="0" w:lastColumn="0" w:noHBand="0" w:noVBand="0"/>
      </w:tblPr>
      <w:tblGrid>
        <w:gridCol w:w="3685"/>
        <w:gridCol w:w="5953"/>
      </w:tblGrid>
      <w:tr w:rsidR="00372198" w:rsidRPr="00C03183" w14:paraId="1861E9F1" w14:textId="77777777">
        <w:tc>
          <w:tcPr>
            <w:tcW w:w="3685" w:type="dxa"/>
            <w:vAlign w:val="center"/>
          </w:tcPr>
          <w:p w14:paraId="6C9E8240" w14:textId="70069344" w:rsidR="00372198" w:rsidRPr="00C14A0F" w:rsidRDefault="001D2BFD">
            <w:pPr>
              <w:spacing w:before="160" w:line="240" w:lineRule="auto"/>
              <w:rPr>
                <w:rFonts w:ascii="Arial Narrow" w:eastAsia="Arial Narrow" w:hAnsi="Arial Narrow" w:cs="Arial Narrow"/>
                <w:b/>
                <w:sz w:val="22"/>
                <w:szCs w:val="22"/>
                <w:lang w:eastAsia="en-AU"/>
              </w:rPr>
            </w:pPr>
            <w:r w:rsidRPr="00C14A0F">
              <w:rPr>
                <w:rFonts w:ascii="Arial Narrow" w:eastAsia="Arial Narrow" w:hAnsi="Arial Narrow" w:cs="Arial Narrow"/>
                <w:b/>
                <w:sz w:val="22"/>
                <w:szCs w:val="22"/>
                <w:lang w:eastAsia="en-AU"/>
              </w:rPr>
              <w:t>DEPARTMENT/UNIT</w:t>
            </w:r>
          </w:p>
        </w:tc>
        <w:tc>
          <w:tcPr>
            <w:tcW w:w="5953" w:type="dxa"/>
            <w:vAlign w:val="center"/>
          </w:tcPr>
          <w:p w14:paraId="17F7CC36" w14:textId="32CA876E" w:rsidR="00372198" w:rsidRPr="009C7F40" w:rsidRDefault="009C7F40">
            <w:pPr>
              <w:spacing w:before="160" w:line="240" w:lineRule="auto"/>
              <w:rPr>
                <w:rFonts w:ascii="Arial" w:hAnsi="Arial" w:cs="Arial"/>
                <w:sz w:val="22"/>
                <w:szCs w:val="22"/>
              </w:rPr>
            </w:pPr>
            <w:r w:rsidRPr="009C7F40">
              <w:rPr>
                <w:rFonts w:ascii="Arial" w:hAnsi="Arial" w:cs="Arial"/>
                <w:sz w:val="22"/>
                <w:szCs w:val="22"/>
              </w:rPr>
              <w:t>Clinical Outcomes data Reporting and Research Program</w:t>
            </w:r>
            <w:r w:rsidR="00396C84">
              <w:rPr>
                <w:rFonts w:ascii="Arial" w:hAnsi="Arial" w:cs="Arial"/>
                <w:sz w:val="22"/>
                <w:szCs w:val="22"/>
              </w:rPr>
              <w:t>, Clinical Registries, School of Public Health and Preventive Medicine</w:t>
            </w:r>
          </w:p>
        </w:tc>
      </w:tr>
      <w:tr w:rsidR="00372198" w:rsidRPr="00C03183" w14:paraId="62BD66D9" w14:textId="77777777">
        <w:tc>
          <w:tcPr>
            <w:tcW w:w="3685" w:type="dxa"/>
            <w:vAlign w:val="center"/>
          </w:tcPr>
          <w:p w14:paraId="7F589079" w14:textId="3E03B1E6" w:rsidR="00372198" w:rsidRPr="00C14A0F" w:rsidRDefault="001D2BFD">
            <w:pPr>
              <w:spacing w:before="160" w:line="240" w:lineRule="auto"/>
              <w:rPr>
                <w:rFonts w:ascii="Arial Narrow" w:eastAsia="Arial Narrow" w:hAnsi="Arial Narrow" w:cs="Arial Narrow"/>
                <w:b/>
                <w:sz w:val="22"/>
                <w:szCs w:val="22"/>
                <w:lang w:eastAsia="en-AU"/>
              </w:rPr>
            </w:pPr>
            <w:r w:rsidRPr="00C14A0F">
              <w:rPr>
                <w:rFonts w:ascii="Arial Narrow" w:eastAsia="Arial Narrow" w:hAnsi="Arial Narrow" w:cs="Arial Narrow"/>
                <w:b/>
                <w:sz w:val="22"/>
                <w:szCs w:val="22"/>
                <w:lang w:eastAsia="en-AU"/>
              </w:rPr>
              <w:t>FACULTY/DIVISION</w:t>
            </w:r>
          </w:p>
        </w:tc>
        <w:tc>
          <w:tcPr>
            <w:tcW w:w="5953" w:type="dxa"/>
            <w:vAlign w:val="center"/>
          </w:tcPr>
          <w:p w14:paraId="03AB6E91" w14:textId="7F2ADACC" w:rsidR="00372198" w:rsidRPr="009C7F40" w:rsidRDefault="009C7F40">
            <w:pPr>
              <w:spacing w:before="160" w:line="240" w:lineRule="auto"/>
              <w:rPr>
                <w:rFonts w:ascii="Arial" w:hAnsi="Arial" w:cs="Arial"/>
                <w:sz w:val="22"/>
                <w:szCs w:val="22"/>
              </w:rPr>
            </w:pPr>
            <w:r w:rsidRPr="009C7F40">
              <w:rPr>
                <w:rFonts w:ascii="Arial" w:hAnsi="Arial" w:cs="Arial"/>
                <w:sz w:val="22"/>
                <w:szCs w:val="22"/>
              </w:rPr>
              <w:t>Medicine, Nursing and Health Sciences</w:t>
            </w:r>
          </w:p>
        </w:tc>
      </w:tr>
      <w:tr w:rsidR="00372198" w:rsidRPr="00C03183" w14:paraId="10FEEFAA" w14:textId="77777777">
        <w:tc>
          <w:tcPr>
            <w:tcW w:w="3685" w:type="dxa"/>
            <w:vAlign w:val="center"/>
          </w:tcPr>
          <w:p w14:paraId="171F7930" w14:textId="77777777" w:rsidR="00372198" w:rsidRPr="00C14A0F" w:rsidRDefault="001D2BFD">
            <w:pPr>
              <w:spacing w:before="160" w:line="240" w:lineRule="auto"/>
              <w:rPr>
                <w:rFonts w:ascii="Arial Narrow" w:eastAsia="Arial Narrow" w:hAnsi="Arial Narrow" w:cs="Arial Narrow"/>
                <w:b/>
                <w:sz w:val="22"/>
                <w:szCs w:val="22"/>
                <w:lang w:eastAsia="en-AU"/>
              </w:rPr>
            </w:pPr>
            <w:r w:rsidRPr="00C14A0F">
              <w:rPr>
                <w:rFonts w:ascii="Arial Narrow" w:eastAsia="Arial Narrow" w:hAnsi="Arial Narrow" w:cs="Arial Narrow"/>
                <w:b/>
                <w:sz w:val="22"/>
                <w:szCs w:val="22"/>
                <w:lang w:eastAsia="en-AU"/>
              </w:rPr>
              <w:t>CLASSIFICATION</w:t>
            </w:r>
          </w:p>
        </w:tc>
        <w:tc>
          <w:tcPr>
            <w:tcW w:w="5953" w:type="dxa"/>
            <w:vAlign w:val="center"/>
          </w:tcPr>
          <w:p w14:paraId="2D78DE8F" w14:textId="77777777" w:rsidR="00372198" w:rsidRPr="009C7F40" w:rsidRDefault="001D2BFD">
            <w:pPr>
              <w:spacing w:before="160" w:line="240" w:lineRule="auto"/>
              <w:rPr>
                <w:rFonts w:ascii="Arial" w:hAnsi="Arial" w:cs="Arial"/>
                <w:sz w:val="22"/>
                <w:szCs w:val="22"/>
              </w:rPr>
            </w:pPr>
            <w:r w:rsidRPr="009C7F40">
              <w:rPr>
                <w:rFonts w:ascii="Arial" w:hAnsi="Arial" w:cs="Arial"/>
                <w:sz w:val="22"/>
                <w:szCs w:val="22"/>
              </w:rPr>
              <w:t>HEW Level 6</w:t>
            </w:r>
          </w:p>
        </w:tc>
      </w:tr>
      <w:tr w:rsidR="00372198" w:rsidRPr="00C03183" w14:paraId="1CDF859E" w14:textId="77777777">
        <w:tc>
          <w:tcPr>
            <w:tcW w:w="3685" w:type="dxa"/>
            <w:vAlign w:val="center"/>
          </w:tcPr>
          <w:p w14:paraId="1F3D0CD3" w14:textId="77777777" w:rsidR="00372198" w:rsidRPr="00C14A0F" w:rsidRDefault="00802687">
            <w:pPr>
              <w:spacing w:before="160" w:line="240" w:lineRule="auto"/>
              <w:rPr>
                <w:rFonts w:ascii="Arial Narrow" w:eastAsia="Arial Narrow" w:hAnsi="Arial Narrow" w:cs="Arial Narrow"/>
                <w:b/>
                <w:sz w:val="22"/>
                <w:szCs w:val="22"/>
                <w:lang w:eastAsia="en-AU"/>
              </w:rPr>
            </w:pPr>
            <w:r w:rsidRPr="00C14A0F">
              <w:rPr>
                <w:rFonts w:ascii="Arial Narrow" w:eastAsia="Arial Narrow" w:hAnsi="Arial Narrow" w:cs="Arial Narrow"/>
                <w:b/>
                <w:sz w:val="22"/>
                <w:szCs w:val="22"/>
                <w:lang w:eastAsia="en-AU"/>
              </w:rPr>
              <w:t>DESIGNATED CAMPUS OR LOCATION</w:t>
            </w:r>
          </w:p>
        </w:tc>
        <w:tc>
          <w:tcPr>
            <w:tcW w:w="5953" w:type="dxa"/>
            <w:vAlign w:val="center"/>
          </w:tcPr>
          <w:p w14:paraId="0421B9BF" w14:textId="2B372891" w:rsidR="00372198" w:rsidRPr="009C7F40" w:rsidRDefault="009C7F40">
            <w:pPr>
              <w:spacing w:before="160" w:line="240" w:lineRule="auto"/>
              <w:rPr>
                <w:rFonts w:ascii="Arial" w:hAnsi="Arial" w:cs="Arial"/>
                <w:sz w:val="22"/>
                <w:szCs w:val="22"/>
              </w:rPr>
            </w:pPr>
            <w:r w:rsidRPr="009C7F40">
              <w:rPr>
                <w:rFonts w:ascii="Arial" w:hAnsi="Arial" w:cs="Arial"/>
                <w:sz w:val="22"/>
                <w:szCs w:val="22"/>
              </w:rPr>
              <w:t>553 St Kilda Road, Melbourne</w:t>
            </w:r>
          </w:p>
        </w:tc>
      </w:tr>
    </w:tbl>
    <w:p w14:paraId="4615BED6" w14:textId="77777777" w:rsidR="00372198" w:rsidRPr="00C03183" w:rsidRDefault="001D2BFD">
      <w:pPr>
        <w:pStyle w:val="Heading2"/>
        <w:rPr>
          <w:rFonts w:ascii="Arial Narrow" w:hAnsi="Arial Narrow" w:cs="Arial"/>
          <w:bCs/>
          <w:sz w:val="32"/>
          <w:szCs w:val="32"/>
        </w:rPr>
      </w:pPr>
      <w:r w:rsidRPr="00C03183">
        <w:rPr>
          <w:rFonts w:ascii="Arial Narrow" w:hAnsi="Arial Narrow" w:cs="Arial"/>
          <w:bCs/>
          <w:sz w:val="32"/>
          <w:szCs w:val="32"/>
        </w:rPr>
        <w:t>Organisational context</w:t>
      </w:r>
    </w:p>
    <w:p w14:paraId="36010D01" w14:textId="5B43785A" w:rsidR="00C14A0F" w:rsidRDefault="00C14A0F" w:rsidP="00C14A0F">
      <w:pPr>
        <w:spacing w:after="120" w:line="240" w:lineRule="auto"/>
        <w:rPr>
          <w:rFonts w:ascii="Arial" w:hAnsi="Arial" w:cs="Arial"/>
          <w:sz w:val="22"/>
          <w:szCs w:val="22"/>
        </w:rPr>
      </w:pPr>
      <w:r>
        <w:rPr>
          <w:rFonts w:ascii="Arial" w:hAnsi="Arial" w:cs="Arial"/>
          <w:sz w:val="22"/>
          <w:szCs w:val="22"/>
        </w:rPr>
        <w:t xml:space="preserve">At </w:t>
      </w:r>
      <w:hyperlink r:id="rId10" w:history="1">
        <w:r>
          <w:rPr>
            <w:rStyle w:val="Hyperlink"/>
            <w:rFonts w:ascii="Arial" w:hAnsi="Arial" w:cs="Arial"/>
            <w:sz w:val="22"/>
            <w:szCs w:val="22"/>
          </w:rPr>
          <w:t>Monash</w:t>
        </w:r>
      </w:hyperlink>
      <w:r>
        <w:rPr>
          <w:rFonts w:ascii="Arial" w:hAnsi="Arial" w:cs="Arial"/>
          <w:sz w:val="22"/>
          <w:szCs w:val="22"/>
        </w:rPr>
        <w:t xml:space="preserve">, work feels different. There’s a sense of belonging, from contributing to something </w:t>
      </w:r>
      <w:r w:rsidR="001D333F">
        <w:rPr>
          <w:rFonts w:ascii="Arial" w:hAnsi="Arial" w:cs="Arial"/>
          <w:sz w:val="22"/>
          <w:szCs w:val="22"/>
        </w:rPr>
        <w:t>ground-breaking</w:t>
      </w:r>
      <w:r>
        <w:rPr>
          <w:rFonts w:ascii="Arial" w:hAnsi="Arial" w:cs="Arial"/>
          <w:sz w:val="22"/>
          <w:szCs w:val="22"/>
        </w:rPr>
        <w:t xml:space="preserve"> – a place where great things happen. You know you’re part of something special and purposeful because, like Monash, your ambitions drive you to make change.</w:t>
      </w:r>
    </w:p>
    <w:p w14:paraId="615CA4F8" w14:textId="77777777" w:rsidR="00C14A0F" w:rsidRDefault="00C14A0F" w:rsidP="00C14A0F">
      <w:pPr>
        <w:pStyle w:val="NormalWeb"/>
        <w:spacing w:before="0" w:beforeAutospacing="0" w:after="120" w:afterAutospacing="0"/>
        <w:rPr>
          <w:rFonts w:ascii="Arial" w:hAnsi="Arial" w:cs="Arial"/>
          <w:sz w:val="22"/>
          <w:szCs w:val="22"/>
        </w:rPr>
      </w:pPr>
      <w:r>
        <w:rPr>
          <w:rFonts w:ascii="Arial" w:hAnsi="Arial" w:cs="Arial"/>
          <w:sz w:val="22"/>
          <w:szCs w:val="22"/>
        </w:rPr>
        <w:t xml:space="preserve">We have a clear purpose to deliver ground-breaking intensive research; a world-class education; a global ecosystem of enterprise – and we activate these to address some of the </w:t>
      </w:r>
      <w:hyperlink r:id="rId11" w:history="1">
        <w:r>
          <w:rPr>
            <w:rStyle w:val="Hyperlink"/>
            <w:rFonts w:ascii="Arial" w:hAnsi="Arial" w:cs="Arial"/>
            <w:sz w:val="22"/>
            <w:szCs w:val="22"/>
          </w:rPr>
          <w:t>challenges</w:t>
        </w:r>
      </w:hyperlink>
      <w:r>
        <w:rPr>
          <w:rFonts w:ascii="Arial" w:hAnsi="Arial" w:cs="Arial"/>
          <w:sz w:val="22"/>
          <w:szCs w:val="22"/>
        </w:rPr>
        <w:t xml:space="preserve"> of the age, Climate Change, Thriving Communities and Geopolitical Security.</w:t>
      </w:r>
    </w:p>
    <w:p w14:paraId="3A31B47B" w14:textId="26EBE5EE" w:rsidR="00C14A0F" w:rsidRDefault="00C14A0F" w:rsidP="00C14A0F">
      <w:pPr>
        <w:pStyle w:val="NormalWeb"/>
        <w:spacing w:before="0" w:beforeAutospacing="0" w:after="120" w:afterAutospacing="0"/>
        <w:rPr>
          <w:rFonts w:ascii="Arial" w:hAnsi="Arial" w:cs="Arial"/>
          <w:sz w:val="22"/>
          <w:szCs w:val="22"/>
        </w:rPr>
      </w:pPr>
      <w:r>
        <w:rPr>
          <w:rFonts w:ascii="Arial" w:hAnsi="Arial" w:cs="Arial"/>
          <w:sz w:val="22"/>
          <w:szCs w:val="22"/>
        </w:rPr>
        <w:t xml:space="preserve">We welcome and value difference and </w:t>
      </w:r>
      <w:hyperlink r:id="rId12" w:history="1">
        <w:r>
          <w:rPr>
            <w:rStyle w:val="Hyperlink"/>
            <w:rFonts w:ascii="Arial" w:hAnsi="Arial" w:cs="Arial"/>
            <w:sz w:val="22"/>
            <w:szCs w:val="22"/>
          </w:rPr>
          <w:t>diversity</w:t>
        </w:r>
      </w:hyperlink>
      <w:r>
        <w:rPr>
          <w:rFonts w:ascii="Arial" w:hAnsi="Arial" w:cs="Arial"/>
          <w:sz w:val="22"/>
          <w:szCs w:val="22"/>
        </w:rPr>
        <w:t>. When you come to work, you can be yourself, be a change-maker and develop your career in exciting ways with curious, energetic, inspiring and committed people and teams driven to make an impact – just like you.</w:t>
      </w:r>
    </w:p>
    <w:p w14:paraId="42E0924F" w14:textId="3C395CA2" w:rsidR="00FF53E4" w:rsidRDefault="00FF53E4" w:rsidP="00C14A0F">
      <w:pPr>
        <w:pStyle w:val="NormalWeb"/>
        <w:spacing w:before="0" w:beforeAutospacing="0" w:after="120" w:afterAutospacing="0"/>
        <w:rPr>
          <w:rFonts w:ascii="Arial" w:hAnsi="Arial" w:cs="Arial"/>
          <w:sz w:val="22"/>
          <w:szCs w:val="22"/>
        </w:rPr>
      </w:pPr>
      <w:r>
        <w:rPr>
          <w:rFonts w:ascii="Arial" w:hAnsi="Arial" w:cs="Arial"/>
          <w:sz w:val="22"/>
          <w:szCs w:val="22"/>
          <w:shd w:val="clear" w:color="auto" w:fill="FFFFFF"/>
        </w:rPr>
        <w:t xml:space="preserve">We champion an </w:t>
      </w:r>
      <w:hyperlink r:id="rId13" w:history="1">
        <w:r>
          <w:rPr>
            <w:rStyle w:val="Hyperlink"/>
            <w:rFonts w:ascii="Arial" w:hAnsi="Arial" w:cs="Arial"/>
            <w:sz w:val="22"/>
            <w:szCs w:val="22"/>
            <w:shd w:val="clear" w:color="auto" w:fill="FFFFFF"/>
          </w:rPr>
          <w:t>inclusive workplace culture</w:t>
        </w:r>
      </w:hyperlink>
      <w:r>
        <w:rPr>
          <w:rFonts w:ascii="Arial" w:hAnsi="Arial" w:cs="Arial"/>
          <w:sz w:val="22"/>
          <w:szCs w:val="22"/>
          <w:shd w:val="clear" w:color="auto" w:fill="FFFFFF"/>
        </w:rPr>
        <w:t xml:space="preserve"> for our staff regardless of ethnicity or cultural background. We have also worked to improve </w:t>
      </w:r>
      <w:hyperlink r:id="rId14" w:history="1">
        <w:r>
          <w:rPr>
            <w:rStyle w:val="Hyperlink"/>
            <w:rFonts w:ascii="Arial" w:hAnsi="Arial" w:cs="Arial"/>
            <w:sz w:val="22"/>
            <w:szCs w:val="22"/>
            <w:shd w:val="clear" w:color="auto" w:fill="FFFFFF"/>
          </w:rPr>
          <w:t>gender equality</w:t>
        </w:r>
      </w:hyperlink>
      <w:r>
        <w:rPr>
          <w:rFonts w:ascii="Arial" w:hAnsi="Arial" w:cs="Arial"/>
          <w:sz w:val="22"/>
          <w:szCs w:val="22"/>
          <w:shd w:val="clear" w:color="auto" w:fill="FFFFFF"/>
        </w:rPr>
        <w:t xml:space="preserve"> for more than 30 years. Join the pursuit of our purpose to build a better future for ourselves and our communities </w:t>
      </w:r>
      <w:r>
        <w:rPr>
          <w:rFonts w:ascii="Arial" w:hAnsi="Arial" w:cs="Arial"/>
          <w:sz w:val="22"/>
          <w:szCs w:val="22"/>
        </w:rPr>
        <w:t xml:space="preserve">– </w:t>
      </w:r>
      <w:hyperlink r:id="rId15" w:history="1">
        <w:r>
          <w:rPr>
            <w:rStyle w:val="Hyperlink"/>
            <w:rFonts w:ascii="Arial" w:hAnsi="Arial" w:cs="Arial"/>
            <w:sz w:val="22"/>
            <w:szCs w:val="22"/>
          </w:rPr>
          <w:t>#ChangeIt</w:t>
        </w:r>
      </w:hyperlink>
      <w:r>
        <w:rPr>
          <w:rFonts w:ascii="Arial" w:hAnsi="Arial" w:cs="Arial"/>
          <w:sz w:val="22"/>
          <w:szCs w:val="22"/>
        </w:rPr>
        <w:t xml:space="preserve"> with us.</w:t>
      </w:r>
    </w:p>
    <w:p w14:paraId="16DDB28E" w14:textId="77777777" w:rsidR="00136314" w:rsidRDefault="00136314" w:rsidP="00136314">
      <w:pPr>
        <w:pStyle w:val="NormalWeb"/>
        <w:spacing w:before="0" w:beforeAutospacing="0" w:after="120" w:afterAutospacing="0"/>
      </w:pPr>
      <w:r>
        <w:rPr>
          <w:rFonts w:ascii="Arial" w:hAnsi="Arial" w:cs="Arial"/>
          <w:sz w:val="22"/>
          <w:szCs w:val="22"/>
        </w:rPr>
        <w:t xml:space="preserve">The Faculty of </w:t>
      </w:r>
      <w:r>
        <w:rPr>
          <w:rFonts w:ascii="Arial" w:hAnsi="Arial" w:cs="Arial"/>
          <w:b/>
          <w:bCs/>
          <w:sz w:val="22"/>
          <w:szCs w:val="22"/>
        </w:rPr>
        <w:t>Medicine, Nursing and Health Sciences</w:t>
      </w:r>
      <w:r>
        <w:rPr>
          <w:rFonts w:ascii="Arial" w:hAnsi="Arial" w:cs="Arial"/>
          <w:sz w:val="22"/>
          <w:szCs w:val="22"/>
        </w:rPr>
        <w:t xml:space="preserve"> is the largest faculty at Monash University, a global university with campuses across Victoria and international locations in Indonesia, Malaysia, China, India and Italy. </w:t>
      </w:r>
    </w:p>
    <w:p w14:paraId="5217AFB3" w14:textId="77777777" w:rsidR="00136314" w:rsidRDefault="00136314" w:rsidP="00136314">
      <w:pPr>
        <w:pStyle w:val="NormalWeb"/>
        <w:spacing w:before="0" w:beforeAutospacing="0" w:after="120" w:afterAutospacing="0"/>
      </w:pPr>
      <w:r>
        <w:rPr>
          <w:rFonts w:ascii="Arial" w:hAnsi="Arial" w:cs="Arial"/>
          <w:sz w:val="22"/>
          <w:szCs w:val="22"/>
        </w:rPr>
        <w:t xml:space="preserve">Our Faculty offers the most comprehensive suite of professional health training in Victoria, consistently ranked in the top 40 universities worldwide for clinical, pre-clinical and health sciences. </w:t>
      </w:r>
    </w:p>
    <w:p w14:paraId="71BC561E" w14:textId="77777777" w:rsidR="00136314" w:rsidRDefault="00136314" w:rsidP="00136314">
      <w:pPr>
        <w:pStyle w:val="NormalWeb"/>
        <w:spacing w:before="0" w:beforeAutospacing="0" w:after="120" w:afterAutospacing="0"/>
      </w:pPr>
      <w:r>
        <w:rPr>
          <w:rFonts w:ascii="Arial" w:hAnsi="Arial" w:cs="Arial"/>
          <w:sz w:val="22"/>
          <w:szCs w:val="22"/>
        </w:rPr>
        <w:lastRenderedPageBreak/>
        <w:t xml:space="preserve">We want to improve the human condition. That is our vision - it has no expiration date. By educating the current and future healthcare workforce, and undertaking medical research, both discovery and clinical, our students, staff and alumni all work to directly improve people’s quality of life, reduce health inequality and promote greater health and social outcomes. </w:t>
      </w:r>
    </w:p>
    <w:p w14:paraId="6140B2E9" w14:textId="77777777" w:rsidR="00136314" w:rsidRDefault="00136314" w:rsidP="00136314">
      <w:pPr>
        <w:pStyle w:val="NormalWeb"/>
        <w:spacing w:before="0" w:beforeAutospacing="0" w:after="120" w:afterAutospacing="0"/>
      </w:pPr>
      <w:r>
        <w:rPr>
          <w:rFonts w:ascii="Arial" w:hAnsi="Arial" w:cs="Arial"/>
          <w:sz w:val="22"/>
          <w:szCs w:val="22"/>
        </w:rPr>
        <w:t>We’re globally recognised for our quality education of over 63,000 doctors, nurses, and allied health professionals and health researchers. The future health of our communities is underpinned by the sustained excellence of our education and research capabilities.</w:t>
      </w:r>
    </w:p>
    <w:p w14:paraId="0A1C71C9" w14:textId="77777777" w:rsidR="00136314" w:rsidRDefault="00136314" w:rsidP="00136314">
      <w:pPr>
        <w:pStyle w:val="NormalWeb"/>
        <w:spacing w:before="0" w:beforeAutospacing="0" w:after="120" w:afterAutospacing="0"/>
      </w:pPr>
      <w:r>
        <w:rPr>
          <w:rFonts w:ascii="Arial" w:hAnsi="Arial" w:cs="Arial"/>
          <w:sz w:val="22"/>
          <w:szCs w:val="22"/>
        </w:rPr>
        <w:t xml:space="preserve">We are ambitious and committed to maintaining our position as a leading international medical research and teaching university. We’re recognised for the quality of our graduates, the scale and depth of our research, our commitment to translational research, and as a thriving biotechnology hub. To learn more about the Faculty, please visit </w:t>
      </w:r>
      <w:hyperlink r:id="rId16" w:history="1">
        <w:r>
          <w:rPr>
            <w:rStyle w:val="Hyperlink"/>
            <w:rFonts w:ascii="Arial" w:hAnsi="Arial" w:cs="Arial"/>
            <w:color w:val="1155CC"/>
            <w:sz w:val="22"/>
            <w:szCs w:val="22"/>
          </w:rPr>
          <w:t>www.monash.edu/medicine</w:t>
        </w:r>
      </w:hyperlink>
      <w:r>
        <w:rPr>
          <w:rFonts w:ascii="Arial" w:hAnsi="Arial" w:cs="Arial"/>
          <w:sz w:val="22"/>
          <w:szCs w:val="22"/>
        </w:rPr>
        <w:t>.</w:t>
      </w:r>
    </w:p>
    <w:p w14:paraId="0045D708" w14:textId="77777777" w:rsidR="00136314" w:rsidRDefault="00136314" w:rsidP="00136314">
      <w:pPr>
        <w:pStyle w:val="NormalWeb"/>
        <w:spacing w:before="0" w:beforeAutospacing="0" w:after="120" w:afterAutospacing="0"/>
      </w:pPr>
      <w:r>
        <w:rPr>
          <w:rFonts w:ascii="Arial" w:hAnsi="Arial" w:cs="Arial"/>
          <w:sz w:val="22"/>
          <w:szCs w:val="22"/>
        </w:rPr>
        <w:t>Our Faculty includes four Sub-Faculties: Health Sciences, Clinical and Molecular Medicine, Biomedical Medicines, and Translational Medicine and Public Health.</w:t>
      </w:r>
    </w:p>
    <w:p w14:paraId="12570B6D" w14:textId="77777777" w:rsidR="00136314" w:rsidRDefault="00136314" w:rsidP="00136314">
      <w:pPr>
        <w:pStyle w:val="NormalWeb"/>
        <w:spacing w:before="0" w:beforeAutospacing="0" w:after="120" w:afterAutospacing="0"/>
        <w:rPr>
          <w:rFonts w:ascii="Arial" w:hAnsi="Arial" w:cs="Arial"/>
          <w:color w:val="FF0000"/>
          <w:sz w:val="22"/>
          <w:szCs w:val="22"/>
        </w:rPr>
      </w:pPr>
      <w:r>
        <w:rPr>
          <w:rFonts w:ascii="Arial" w:hAnsi="Arial" w:cs="Arial"/>
          <w:sz w:val="22"/>
          <w:szCs w:val="22"/>
        </w:rPr>
        <w:t xml:space="preserve">The </w:t>
      </w:r>
      <w:r>
        <w:rPr>
          <w:rFonts w:ascii="Arial" w:hAnsi="Arial" w:cs="Arial"/>
          <w:b/>
          <w:bCs/>
          <w:sz w:val="22"/>
          <w:szCs w:val="22"/>
        </w:rPr>
        <w:t>School of Public Health and Preventive Medicine</w:t>
      </w:r>
      <w:r>
        <w:rPr>
          <w:rFonts w:ascii="Arial" w:hAnsi="Arial" w:cs="Arial"/>
          <w:sz w:val="22"/>
          <w:szCs w:val="22"/>
        </w:rPr>
        <w:t xml:space="preserve"> is committed to our vision of Health and wellbeing for all people and communities. We are one of the largest schools of public health in the Asia Pacific region. Through generating and synthesising impactful evidence, supporting the strengthening of our health systems and informing and transforming policy and practice, we can help overcome the health challenges being faced across Australia and more broadly. We have skills, knowledge and excellence across a range of disciplines including epidemiology, research methodology, biostatistics, research ethics, governance, clinical trials, clinical quality registries, qualitative research, evidence synthesis, implementation science, health economics, genomics, forensic science, health systems, services and policy, and clinical practice. This provides a strong foundation upon which we can inform, support and sustain equitable improvements in health for individuals and communities. The School is part of the Faculty of Medicine, Nursing and Health Sciences centred at the Alfred Hospital Campus with satellite units and partners embedded across other major Monash affiliated hospitals, research institutes and public health organisations.</w:t>
      </w:r>
    </w:p>
    <w:p w14:paraId="58A6AEB6" w14:textId="461F68F1" w:rsidR="009C7F40" w:rsidRPr="00592918" w:rsidRDefault="009C7F40" w:rsidP="009C7F40">
      <w:pPr>
        <w:pStyle w:val="NormalWeb"/>
        <w:spacing w:before="0" w:beforeAutospacing="0" w:after="120" w:afterAutospacing="0"/>
        <w:rPr>
          <w:rFonts w:ascii="Arial" w:hAnsi="Arial" w:cs="Arial"/>
          <w:color w:val="auto"/>
          <w:sz w:val="22"/>
          <w:szCs w:val="22"/>
        </w:rPr>
      </w:pPr>
      <w:r w:rsidRPr="00592918">
        <w:rPr>
          <w:rFonts w:ascii="Arial" w:hAnsi="Arial" w:cs="Arial"/>
          <w:color w:val="auto"/>
          <w:sz w:val="22"/>
          <w:szCs w:val="22"/>
        </w:rPr>
        <w:t xml:space="preserve">The </w:t>
      </w:r>
      <w:r w:rsidRPr="00592918">
        <w:rPr>
          <w:rFonts w:ascii="Arial" w:hAnsi="Arial" w:cs="Arial"/>
          <w:b/>
          <w:color w:val="auto"/>
          <w:sz w:val="22"/>
          <w:szCs w:val="22"/>
        </w:rPr>
        <w:t xml:space="preserve">Clinical Outcomes </w:t>
      </w:r>
      <w:r>
        <w:rPr>
          <w:rFonts w:ascii="Arial" w:hAnsi="Arial" w:cs="Arial"/>
          <w:b/>
          <w:color w:val="auto"/>
          <w:sz w:val="22"/>
          <w:szCs w:val="22"/>
        </w:rPr>
        <w:t>d</w:t>
      </w:r>
      <w:r w:rsidRPr="00592918">
        <w:rPr>
          <w:rFonts w:ascii="Arial" w:hAnsi="Arial" w:cs="Arial"/>
          <w:b/>
          <w:color w:val="auto"/>
          <w:sz w:val="22"/>
          <w:szCs w:val="22"/>
        </w:rPr>
        <w:t>ata Reporting and Research Program (CORRP)</w:t>
      </w:r>
      <w:r w:rsidRPr="00592918">
        <w:rPr>
          <w:rFonts w:ascii="Arial" w:hAnsi="Arial" w:cs="Arial"/>
          <w:color w:val="auto"/>
          <w:sz w:val="22"/>
          <w:szCs w:val="22"/>
        </w:rPr>
        <w:t xml:space="preserve"> comprises a multidisciplinary team of academics, project managers, statisticians, and registry experts who oversee the development and ongoing management of a number of clinical registries of national and clinical significance, including the Australasian Pelvic Floor Procedure Registry (APFPR), the Australian Breast Device Registry (ABDR), the Australian Cystic Fibrosis Data Registry (ACFDR) and the Australian Dementia Network (ADNeT) Registry. The registry team</w:t>
      </w:r>
      <w:r>
        <w:rPr>
          <w:rFonts w:ascii="Arial" w:hAnsi="Arial" w:cs="Arial"/>
          <w:color w:val="auto"/>
          <w:sz w:val="22"/>
          <w:szCs w:val="22"/>
        </w:rPr>
        <w:t>s</w:t>
      </w:r>
      <w:r w:rsidRPr="00592918">
        <w:rPr>
          <w:rFonts w:ascii="Arial" w:hAnsi="Arial" w:cs="Arial"/>
          <w:color w:val="auto"/>
          <w:sz w:val="22"/>
          <w:szCs w:val="22"/>
        </w:rPr>
        <w:t xml:space="preserve"> interact regularly with senior clinicians, health services, medical Societies and Colleges, Governments and their agencies, consumers and their support groups, and industry in their overall goal to collect and report on high quality clinical data that will drive improvements in care and patient safety. </w:t>
      </w:r>
    </w:p>
    <w:p w14:paraId="0D8957C2" w14:textId="77777777" w:rsidR="009C7F40" w:rsidRPr="00592918" w:rsidRDefault="009C7F40" w:rsidP="009C7F40">
      <w:pPr>
        <w:pStyle w:val="NormalWeb"/>
        <w:spacing w:before="0" w:beforeAutospacing="0" w:after="120" w:afterAutospacing="0"/>
        <w:rPr>
          <w:rFonts w:ascii="Arial" w:hAnsi="Arial" w:cs="Arial"/>
          <w:color w:val="auto"/>
          <w:sz w:val="22"/>
          <w:szCs w:val="22"/>
        </w:rPr>
      </w:pPr>
      <w:r w:rsidRPr="00592918">
        <w:rPr>
          <w:rFonts w:ascii="Arial" w:hAnsi="Arial" w:cs="Arial"/>
          <w:color w:val="auto"/>
          <w:sz w:val="22"/>
          <w:szCs w:val="22"/>
        </w:rPr>
        <w:t xml:space="preserve">Monash University is an Executive Partner in the </w:t>
      </w:r>
      <w:r w:rsidRPr="00592918">
        <w:rPr>
          <w:rFonts w:ascii="Arial" w:hAnsi="Arial" w:cs="Arial"/>
          <w:b/>
          <w:color w:val="auto"/>
          <w:sz w:val="22"/>
          <w:szCs w:val="22"/>
        </w:rPr>
        <w:t>Clinical Quality Registries Communication and Collaboration Hub</w:t>
      </w:r>
      <w:r w:rsidRPr="00592918">
        <w:rPr>
          <w:rFonts w:ascii="Arial" w:hAnsi="Arial" w:cs="Arial"/>
          <w:color w:val="auto"/>
          <w:sz w:val="22"/>
          <w:szCs w:val="22"/>
        </w:rPr>
        <w:t xml:space="preserve">, a collaboration between Monash University, the Australian Clinical Trials Alliance (ACTA) and the South Australian Health and Medical Research Institute (SAHMRI). The CQR Hub exists to support CQR collaboration and develop guidelines around CQR best practice operations.  </w:t>
      </w:r>
    </w:p>
    <w:p w14:paraId="7CE524D5" w14:textId="7C399867" w:rsidR="00372198" w:rsidRPr="00C14A0F" w:rsidRDefault="009C7F40" w:rsidP="00C14A0F">
      <w:pPr>
        <w:pStyle w:val="NormalWeb"/>
        <w:spacing w:before="0" w:beforeAutospacing="0" w:after="120" w:afterAutospacing="0"/>
        <w:rPr>
          <w:rFonts w:ascii="Arial" w:hAnsi="Arial" w:cs="Arial"/>
          <w:color w:val="auto"/>
          <w:sz w:val="22"/>
          <w:szCs w:val="22"/>
        </w:rPr>
      </w:pPr>
      <w:r w:rsidRPr="000471EC">
        <w:rPr>
          <w:rFonts w:ascii="Arial" w:hAnsi="Arial" w:cs="Arial"/>
          <w:color w:val="auto"/>
          <w:sz w:val="22"/>
          <w:szCs w:val="22"/>
        </w:rPr>
        <w:t xml:space="preserve">Monash and the Faculty of Medicine, Nursing and Health Sciences </w:t>
      </w:r>
      <w:r w:rsidR="00C14A0F" w:rsidRPr="000471EC">
        <w:rPr>
          <w:rFonts w:ascii="Arial" w:hAnsi="Arial" w:cs="Arial"/>
          <w:color w:val="auto"/>
          <w:sz w:val="22"/>
          <w:szCs w:val="22"/>
        </w:rPr>
        <w:t xml:space="preserve">values staff diversity and champions inclusive practices. We are committed to equitable decision making and apply the principles of </w:t>
      </w:r>
      <w:hyperlink r:id="rId17" w:history="1">
        <w:r w:rsidR="00C14A0F">
          <w:rPr>
            <w:rStyle w:val="Hyperlink"/>
            <w:rFonts w:ascii="Arial" w:hAnsi="Arial" w:cs="Arial"/>
            <w:sz w:val="22"/>
            <w:szCs w:val="22"/>
          </w:rPr>
          <w:t>achievement relative to opportunity</w:t>
        </w:r>
      </w:hyperlink>
      <w:r w:rsidR="00C14A0F">
        <w:rPr>
          <w:rFonts w:ascii="Arial" w:hAnsi="Arial" w:cs="Arial"/>
          <w:sz w:val="22"/>
          <w:szCs w:val="22"/>
        </w:rPr>
        <w:t xml:space="preserve"> </w:t>
      </w:r>
      <w:r w:rsidR="00C14A0F" w:rsidRPr="000471EC">
        <w:rPr>
          <w:rFonts w:ascii="Arial" w:hAnsi="Arial" w:cs="Arial"/>
          <w:color w:val="auto"/>
          <w:sz w:val="22"/>
          <w:szCs w:val="22"/>
        </w:rPr>
        <w:t>in our selection processes</w:t>
      </w:r>
      <w:r w:rsidR="00C14A0F">
        <w:rPr>
          <w:rFonts w:ascii="Arial" w:hAnsi="Arial" w:cs="Arial"/>
          <w:sz w:val="22"/>
          <w:szCs w:val="22"/>
        </w:rPr>
        <w:t>.</w:t>
      </w:r>
    </w:p>
    <w:p w14:paraId="7DC2E80D" w14:textId="305E0CF2" w:rsidR="00372198" w:rsidRPr="00C03183" w:rsidRDefault="00136314">
      <w:pPr>
        <w:pStyle w:val="Heading2"/>
        <w:rPr>
          <w:rFonts w:ascii="Arial Narrow" w:hAnsi="Arial Narrow" w:cs="Arial"/>
          <w:bCs/>
          <w:sz w:val="32"/>
          <w:szCs w:val="32"/>
        </w:rPr>
      </w:pPr>
      <w:r>
        <w:rPr>
          <w:rFonts w:ascii="Arial Narrow" w:hAnsi="Arial Narrow" w:cs="Arial"/>
          <w:bCs/>
          <w:sz w:val="32"/>
          <w:szCs w:val="32"/>
        </w:rPr>
        <w:br w:type="column"/>
      </w:r>
      <w:r w:rsidR="001D2BFD" w:rsidRPr="00C03183">
        <w:rPr>
          <w:rFonts w:ascii="Arial Narrow" w:hAnsi="Arial Narrow" w:cs="Arial"/>
          <w:bCs/>
          <w:sz w:val="32"/>
          <w:szCs w:val="32"/>
        </w:rPr>
        <w:lastRenderedPageBreak/>
        <w:t>Position purpose</w:t>
      </w:r>
    </w:p>
    <w:p w14:paraId="2D84871F" w14:textId="784801D5" w:rsidR="009C7F40" w:rsidRDefault="009C7F40" w:rsidP="009C7F40">
      <w:pPr>
        <w:spacing w:after="120" w:line="240" w:lineRule="auto"/>
        <w:rPr>
          <w:rFonts w:ascii="Arial" w:hAnsi="Arial" w:cs="Arial"/>
          <w:sz w:val="22"/>
          <w:szCs w:val="22"/>
        </w:rPr>
      </w:pPr>
      <w:bookmarkStart w:id="0" w:name="_Hlk177727037"/>
      <w:bookmarkStart w:id="1" w:name="_GoBack"/>
      <w:r w:rsidRPr="00C03183">
        <w:rPr>
          <w:rFonts w:ascii="Arial" w:hAnsi="Arial" w:cs="Arial"/>
          <w:sz w:val="22"/>
          <w:szCs w:val="22"/>
        </w:rPr>
        <w:t xml:space="preserve">The </w:t>
      </w:r>
      <w:r w:rsidR="00136314">
        <w:rPr>
          <w:rFonts w:ascii="Arial" w:hAnsi="Arial" w:cs="Arial"/>
          <w:sz w:val="22"/>
          <w:szCs w:val="22"/>
        </w:rPr>
        <w:t>Registry Communications Research Officer</w:t>
      </w:r>
      <w:r w:rsidR="001D333F">
        <w:rPr>
          <w:rFonts w:ascii="Arial" w:hAnsi="Arial" w:cs="Arial"/>
          <w:sz w:val="22"/>
          <w:szCs w:val="22"/>
        </w:rPr>
        <w:t xml:space="preserve"> </w:t>
      </w:r>
      <w:r>
        <w:t xml:space="preserve">will </w:t>
      </w:r>
      <w:r w:rsidRPr="001F4F9A">
        <w:rPr>
          <w:rFonts w:ascii="Arial" w:hAnsi="Arial" w:cs="Arial"/>
          <w:sz w:val="22"/>
          <w:szCs w:val="22"/>
        </w:rPr>
        <w:t>provide communications and consumer engagement support</w:t>
      </w:r>
      <w:r>
        <w:rPr>
          <w:rFonts w:ascii="Arial" w:hAnsi="Arial" w:cs="Arial"/>
          <w:sz w:val="22"/>
          <w:szCs w:val="22"/>
        </w:rPr>
        <w:t>, and</w:t>
      </w:r>
      <w:r w:rsidRPr="001F4F9A">
        <w:rPr>
          <w:rFonts w:ascii="Arial" w:hAnsi="Arial" w:cs="Arial"/>
          <w:sz w:val="22"/>
          <w:szCs w:val="22"/>
        </w:rPr>
        <w:t xml:space="preserve"> project support across CORRP registries and the </w:t>
      </w:r>
      <w:r w:rsidR="00A83B10">
        <w:rPr>
          <w:rFonts w:ascii="Arial" w:hAnsi="Arial" w:cs="Arial"/>
          <w:sz w:val="22"/>
          <w:szCs w:val="22"/>
        </w:rPr>
        <w:t>Clinical Quality Registry (</w:t>
      </w:r>
      <w:r w:rsidRPr="001F4F9A">
        <w:rPr>
          <w:rFonts w:ascii="Arial" w:hAnsi="Arial" w:cs="Arial"/>
          <w:sz w:val="22"/>
          <w:szCs w:val="22"/>
        </w:rPr>
        <w:t>CQR</w:t>
      </w:r>
      <w:r w:rsidR="00A83B10">
        <w:rPr>
          <w:rFonts w:ascii="Arial" w:hAnsi="Arial" w:cs="Arial"/>
          <w:sz w:val="22"/>
          <w:szCs w:val="22"/>
        </w:rPr>
        <w:t>)</w:t>
      </w:r>
      <w:r w:rsidRPr="001F4F9A">
        <w:rPr>
          <w:rFonts w:ascii="Arial" w:hAnsi="Arial" w:cs="Arial"/>
          <w:sz w:val="22"/>
          <w:szCs w:val="22"/>
        </w:rPr>
        <w:t xml:space="preserve"> Hub.</w:t>
      </w:r>
      <w:r>
        <w:rPr>
          <w:rFonts w:ascii="Arial" w:hAnsi="Arial" w:cs="Arial"/>
          <w:sz w:val="22"/>
          <w:szCs w:val="22"/>
        </w:rPr>
        <w:t xml:space="preserve"> </w:t>
      </w:r>
      <w:r w:rsidRPr="0046398C">
        <w:rPr>
          <w:rFonts w:ascii="Arial" w:hAnsi="Arial" w:cs="Arial"/>
          <w:sz w:val="22"/>
          <w:szCs w:val="22"/>
        </w:rPr>
        <w:t xml:space="preserve">The </w:t>
      </w:r>
      <w:r w:rsidR="00136314">
        <w:rPr>
          <w:rFonts w:ascii="Arial" w:hAnsi="Arial" w:cs="Arial"/>
          <w:sz w:val="22"/>
          <w:szCs w:val="22"/>
        </w:rPr>
        <w:t>Registry Communications Research Officer</w:t>
      </w:r>
      <w:r w:rsidR="001D333F">
        <w:rPr>
          <w:rFonts w:ascii="Arial" w:hAnsi="Arial" w:cs="Arial"/>
          <w:sz w:val="22"/>
          <w:szCs w:val="22"/>
        </w:rPr>
        <w:t xml:space="preserve"> </w:t>
      </w:r>
      <w:r w:rsidRPr="0046398C">
        <w:rPr>
          <w:rFonts w:ascii="Arial" w:hAnsi="Arial" w:cs="Arial"/>
          <w:sz w:val="22"/>
          <w:szCs w:val="22"/>
        </w:rPr>
        <w:t xml:space="preserve">performs a range </w:t>
      </w:r>
      <w:r>
        <w:rPr>
          <w:rFonts w:ascii="Arial" w:hAnsi="Arial" w:cs="Arial"/>
          <w:sz w:val="22"/>
          <w:szCs w:val="22"/>
        </w:rPr>
        <w:t xml:space="preserve">of </w:t>
      </w:r>
      <w:r w:rsidRPr="00384668">
        <w:rPr>
          <w:rFonts w:ascii="Arial" w:hAnsi="Arial" w:cs="Arial"/>
          <w:sz w:val="22"/>
          <w:szCs w:val="22"/>
        </w:rPr>
        <w:t xml:space="preserve">administrative and </w:t>
      </w:r>
      <w:r>
        <w:rPr>
          <w:rFonts w:ascii="Arial" w:hAnsi="Arial" w:cs="Arial"/>
          <w:sz w:val="22"/>
          <w:szCs w:val="22"/>
        </w:rPr>
        <w:t>engagement</w:t>
      </w:r>
      <w:r w:rsidRPr="00384668">
        <w:rPr>
          <w:rFonts w:ascii="Arial" w:hAnsi="Arial" w:cs="Arial"/>
          <w:sz w:val="22"/>
          <w:szCs w:val="22"/>
        </w:rPr>
        <w:t xml:space="preserve"> activities that play a critical role in supporting the delivery of outcomes, </w:t>
      </w:r>
      <w:r w:rsidRPr="00592918">
        <w:rPr>
          <w:rFonts w:ascii="Arial" w:hAnsi="Arial" w:cs="Arial"/>
          <w:sz w:val="22"/>
          <w:szCs w:val="22"/>
        </w:rPr>
        <w:t xml:space="preserve">primarily as they relate to communications and public engagement of </w:t>
      </w:r>
      <w:r w:rsidR="00281E5D">
        <w:rPr>
          <w:rFonts w:ascii="Arial" w:hAnsi="Arial" w:cs="Arial"/>
          <w:sz w:val="22"/>
          <w:szCs w:val="22"/>
        </w:rPr>
        <w:t>Clinical Outcomes Data Reporting and Research Program (</w:t>
      </w:r>
      <w:r w:rsidRPr="00592918">
        <w:rPr>
          <w:rFonts w:ascii="Arial" w:hAnsi="Arial" w:cs="Arial"/>
          <w:sz w:val="22"/>
          <w:szCs w:val="22"/>
        </w:rPr>
        <w:t>CORRP</w:t>
      </w:r>
      <w:r w:rsidR="00281E5D">
        <w:rPr>
          <w:rFonts w:ascii="Arial" w:hAnsi="Arial" w:cs="Arial"/>
          <w:sz w:val="22"/>
          <w:szCs w:val="22"/>
        </w:rPr>
        <w:t>)</w:t>
      </w:r>
      <w:r w:rsidRPr="00592918">
        <w:rPr>
          <w:rFonts w:ascii="Arial" w:hAnsi="Arial" w:cs="Arial"/>
          <w:sz w:val="22"/>
          <w:szCs w:val="22"/>
        </w:rPr>
        <w:t xml:space="preserve"> registries (in particular the</w:t>
      </w:r>
      <w:r w:rsidR="00281E5D">
        <w:rPr>
          <w:rFonts w:ascii="Arial" w:hAnsi="Arial" w:cs="Arial"/>
          <w:sz w:val="22"/>
          <w:szCs w:val="22"/>
        </w:rPr>
        <w:t xml:space="preserve"> Australasian Pelvic Floor Procedure Registry (</w:t>
      </w:r>
      <w:r w:rsidRPr="00592918">
        <w:rPr>
          <w:rFonts w:ascii="Arial" w:hAnsi="Arial" w:cs="Arial"/>
          <w:sz w:val="22"/>
          <w:szCs w:val="22"/>
        </w:rPr>
        <w:t>APFPR), and raising the profile of these initiatives to ensure that they are recognised as trusted, independent national entities whose primary focus is the safety and wellbeing of consumers.</w:t>
      </w:r>
      <w:r>
        <w:rPr>
          <w:rFonts w:ascii="Arial" w:hAnsi="Arial" w:cs="Arial"/>
          <w:sz w:val="22"/>
          <w:szCs w:val="22"/>
        </w:rPr>
        <w:t xml:space="preserve"> The role engages with and supports registry stakeholders, and implements consumer engagement activities and registry communications strategies.</w:t>
      </w:r>
      <w:r w:rsidRPr="00592918">
        <w:rPr>
          <w:rFonts w:ascii="Arial" w:hAnsi="Arial" w:cs="Arial"/>
          <w:sz w:val="22"/>
          <w:szCs w:val="22"/>
        </w:rPr>
        <w:t xml:space="preserve"> </w:t>
      </w:r>
    </w:p>
    <w:p w14:paraId="504070C6" w14:textId="68EDDA2B" w:rsidR="009C7F40" w:rsidRDefault="009C7F40" w:rsidP="009C7F40">
      <w:pPr>
        <w:spacing w:after="120" w:line="240" w:lineRule="auto"/>
        <w:rPr>
          <w:rFonts w:ascii="Arial" w:hAnsi="Arial" w:cs="Arial"/>
          <w:color w:val="FF0000"/>
          <w:sz w:val="22"/>
          <w:szCs w:val="22"/>
        </w:rPr>
      </w:pPr>
      <w:r>
        <w:rPr>
          <w:rFonts w:ascii="Arial" w:hAnsi="Arial" w:cs="Arial"/>
          <w:sz w:val="22"/>
          <w:szCs w:val="22"/>
        </w:rPr>
        <w:t>Th</w:t>
      </w:r>
      <w:r w:rsidR="00D316C2">
        <w:rPr>
          <w:rFonts w:ascii="Arial" w:hAnsi="Arial" w:cs="Arial"/>
          <w:sz w:val="22"/>
          <w:szCs w:val="22"/>
        </w:rPr>
        <w:t>is position</w:t>
      </w:r>
      <w:r>
        <w:rPr>
          <w:rFonts w:ascii="Arial" w:hAnsi="Arial" w:cs="Arial"/>
          <w:sz w:val="22"/>
          <w:szCs w:val="22"/>
        </w:rPr>
        <w:t xml:space="preserve"> will also provide administrative and communications support to the CQR Hub, facilitating broad sector engagement, engaging with registries within Australia and internationally, and promoting Hub activities. </w:t>
      </w:r>
    </w:p>
    <w:p w14:paraId="01548E74" w14:textId="3B61941C" w:rsidR="009C7F40" w:rsidRPr="00592918" w:rsidRDefault="009C7F40" w:rsidP="009C7F40">
      <w:pPr>
        <w:spacing w:after="120" w:line="240" w:lineRule="auto"/>
        <w:rPr>
          <w:rFonts w:ascii="Arial" w:hAnsi="Arial" w:cs="Arial"/>
          <w:sz w:val="22"/>
          <w:szCs w:val="22"/>
        </w:rPr>
      </w:pPr>
      <w:bookmarkStart w:id="2" w:name="_heading=h.gjdgxs" w:colFirst="0" w:colLast="0"/>
      <w:bookmarkEnd w:id="2"/>
      <w:bookmarkEnd w:id="0"/>
      <w:bookmarkEnd w:id="1"/>
      <w:r w:rsidRPr="00384668">
        <w:rPr>
          <w:rFonts w:ascii="Arial" w:hAnsi="Arial" w:cs="Arial"/>
          <w:b/>
          <w:sz w:val="22"/>
          <w:szCs w:val="22"/>
        </w:rPr>
        <w:t>Reporting Line:</w:t>
      </w:r>
      <w:r w:rsidRPr="00384668">
        <w:rPr>
          <w:rFonts w:ascii="Arial" w:hAnsi="Arial" w:cs="Arial"/>
          <w:sz w:val="22"/>
          <w:szCs w:val="22"/>
        </w:rPr>
        <w:t xml:space="preserve"> </w:t>
      </w:r>
      <w:r w:rsidRPr="000471EC">
        <w:rPr>
          <w:rFonts w:ascii="Arial" w:hAnsi="Arial" w:cs="Arial"/>
          <w:sz w:val="22"/>
          <w:szCs w:val="22"/>
        </w:rPr>
        <w:t>The position reports to Head, Clinical Outcomes data Reporting and Research Program (CORRP) and Manager, CORRP Surgical Registries</w:t>
      </w:r>
      <w:r w:rsidR="00136314">
        <w:rPr>
          <w:rFonts w:ascii="Arial" w:hAnsi="Arial" w:cs="Arial"/>
          <w:sz w:val="22"/>
          <w:szCs w:val="22"/>
        </w:rPr>
        <w:t xml:space="preserve"> under </w:t>
      </w:r>
      <w:r w:rsidR="001D333F">
        <w:rPr>
          <w:rFonts w:ascii="Arial" w:hAnsi="Arial" w:cs="Arial"/>
          <w:sz w:val="22"/>
          <w:szCs w:val="22"/>
        </w:rPr>
        <w:t>broad</w:t>
      </w:r>
      <w:r w:rsidR="00136314">
        <w:rPr>
          <w:rFonts w:ascii="Arial" w:hAnsi="Arial" w:cs="Arial"/>
          <w:sz w:val="22"/>
          <w:szCs w:val="22"/>
        </w:rPr>
        <w:t xml:space="preserve"> direction</w:t>
      </w:r>
      <w:r w:rsidRPr="000471EC">
        <w:rPr>
          <w:rFonts w:ascii="Arial" w:hAnsi="Arial" w:cs="Arial"/>
          <w:sz w:val="22"/>
          <w:szCs w:val="22"/>
        </w:rPr>
        <w:t xml:space="preserve"> </w:t>
      </w:r>
    </w:p>
    <w:p w14:paraId="23E99A3C" w14:textId="77777777" w:rsidR="009C7F40" w:rsidRPr="00384668" w:rsidRDefault="009C7F40" w:rsidP="009C7F40">
      <w:pPr>
        <w:spacing w:after="120" w:line="240" w:lineRule="auto"/>
        <w:rPr>
          <w:rFonts w:ascii="Arial" w:hAnsi="Arial" w:cs="Arial"/>
          <w:sz w:val="22"/>
          <w:szCs w:val="22"/>
        </w:rPr>
      </w:pPr>
      <w:r w:rsidRPr="00384668">
        <w:rPr>
          <w:rFonts w:ascii="Arial" w:hAnsi="Arial" w:cs="Arial"/>
          <w:b/>
          <w:sz w:val="22"/>
          <w:szCs w:val="22"/>
        </w:rPr>
        <w:t>Supervisory Responsibilities:</w:t>
      </w:r>
      <w:r w:rsidRPr="00384668">
        <w:rPr>
          <w:rFonts w:ascii="Arial" w:hAnsi="Arial" w:cs="Arial"/>
          <w:sz w:val="22"/>
          <w:szCs w:val="22"/>
        </w:rPr>
        <w:t xml:space="preserve"> Not applicable</w:t>
      </w:r>
    </w:p>
    <w:p w14:paraId="53CEBC13" w14:textId="77777777" w:rsidR="009C7F40" w:rsidRPr="00592918" w:rsidRDefault="009C7F40" w:rsidP="009C7F40">
      <w:pPr>
        <w:shd w:val="clear" w:color="auto" w:fill="FFFFFF"/>
        <w:spacing w:after="120" w:line="240" w:lineRule="auto"/>
        <w:rPr>
          <w:rFonts w:ascii="Arial" w:hAnsi="Arial" w:cs="Arial"/>
          <w:b/>
          <w:sz w:val="22"/>
          <w:szCs w:val="22"/>
        </w:rPr>
      </w:pPr>
      <w:r w:rsidRPr="00592918">
        <w:rPr>
          <w:rFonts w:ascii="Arial" w:hAnsi="Arial" w:cs="Arial"/>
          <w:b/>
          <w:sz w:val="22"/>
          <w:szCs w:val="22"/>
        </w:rPr>
        <w:t xml:space="preserve">Financial Delegation: </w:t>
      </w:r>
      <w:r w:rsidRPr="00592918">
        <w:rPr>
          <w:rFonts w:ascii="Arial" w:hAnsi="Arial" w:cs="Arial"/>
          <w:sz w:val="22"/>
          <w:szCs w:val="22"/>
        </w:rPr>
        <w:t>Not applicable</w:t>
      </w:r>
    </w:p>
    <w:p w14:paraId="3D1206CC" w14:textId="77777777" w:rsidR="009C7F40" w:rsidRPr="00C03183" w:rsidRDefault="009C7F40" w:rsidP="009C7F40">
      <w:pPr>
        <w:shd w:val="clear" w:color="auto" w:fill="FFFFFF"/>
        <w:spacing w:after="120" w:line="240" w:lineRule="auto"/>
        <w:rPr>
          <w:rFonts w:ascii="Arial" w:hAnsi="Arial" w:cs="Arial"/>
          <w:color w:val="222222"/>
          <w:sz w:val="22"/>
          <w:szCs w:val="22"/>
        </w:rPr>
      </w:pPr>
      <w:r w:rsidRPr="00592918">
        <w:rPr>
          <w:rFonts w:ascii="Arial" w:hAnsi="Arial" w:cs="Arial"/>
          <w:b/>
          <w:sz w:val="22"/>
          <w:szCs w:val="22"/>
        </w:rPr>
        <w:t>Budgetary Responsibilities:</w:t>
      </w:r>
      <w:r w:rsidRPr="00592918">
        <w:rPr>
          <w:rFonts w:ascii="Arial" w:hAnsi="Arial" w:cs="Arial"/>
          <w:sz w:val="22"/>
          <w:szCs w:val="22"/>
        </w:rPr>
        <w:t xml:space="preserve"> Not applicable</w:t>
      </w:r>
    </w:p>
    <w:p w14:paraId="318F08D6" w14:textId="77777777" w:rsidR="00372198" w:rsidRPr="00C03183" w:rsidRDefault="001D2BFD">
      <w:pPr>
        <w:pStyle w:val="Heading2"/>
        <w:rPr>
          <w:rFonts w:ascii="Arial Narrow" w:hAnsi="Arial Narrow" w:cs="Arial"/>
          <w:bCs/>
          <w:sz w:val="32"/>
          <w:szCs w:val="32"/>
        </w:rPr>
      </w:pPr>
      <w:r w:rsidRPr="00C03183">
        <w:rPr>
          <w:rFonts w:ascii="Arial Narrow" w:hAnsi="Arial Narrow" w:cs="Arial"/>
          <w:bCs/>
          <w:sz w:val="32"/>
          <w:szCs w:val="32"/>
        </w:rPr>
        <w:t>Key responsibilities</w:t>
      </w:r>
    </w:p>
    <w:p w14:paraId="5854DE4D" w14:textId="2CE3A090" w:rsidR="009C7F40" w:rsidRPr="00592918" w:rsidRDefault="009C7F40" w:rsidP="001D333F">
      <w:pPr>
        <w:numPr>
          <w:ilvl w:val="0"/>
          <w:numId w:val="2"/>
        </w:numPr>
        <w:pBdr>
          <w:top w:val="nil"/>
          <w:left w:val="nil"/>
          <w:bottom w:val="nil"/>
          <w:right w:val="nil"/>
          <w:between w:val="nil"/>
        </w:pBdr>
        <w:spacing w:after="120" w:line="240" w:lineRule="auto"/>
        <w:ind w:left="426" w:hanging="426"/>
        <w:rPr>
          <w:rFonts w:ascii="Arial" w:eastAsia="Arial" w:hAnsi="Arial" w:cs="Arial"/>
          <w:color w:val="000000"/>
          <w:sz w:val="22"/>
          <w:szCs w:val="22"/>
          <w:lang w:eastAsia="en-AU"/>
        </w:rPr>
      </w:pPr>
      <w:r w:rsidRPr="00592918">
        <w:rPr>
          <w:rFonts w:ascii="Arial" w:eastAsia="Arial" w:hAnsi="Arial" w:cs="Arial"/>
          <w:color w:val="000000"/>
          <w:sz w:val="22"/>
          <w:szCs w:val="22"/>
          <w:lang w:eastAsia="en-AU"/>
        </w:rPr>
        <w:t>Internal and external stakeholder engagement, including acting as a key point of contact for consumers engaged with registry operations</w:t>
      </w:r>
    </w:p>
    <w:p w14:paraId="4AE101F2" w14:textId="33936F35" w:rsidR="009C7F40" w:rsidRDefault="009C7F40" w:rsidP="001D333F">
      <w:pPr>
        <w:numPr>
          <w:ilvl w:val="0"/>
          <w:numId w:val="2"/>
        </w:numPr>
        <w:pBdr>
          <w:top w:val="nil"/>
          <w:left w:val="nil"/>
          <w:bottom w:val="nil"/>
          <w:right w:val="nil"/>
          <w:between w:val="nil"/>
        </w:pBdr>
        <w:spacing w:after="120" w:line="240" w:lineRule="auto"/>
        <w:ind w:left="426" w:hanging="426"/>
        <w:rPr>
          <w:rFonts w:ascii="Arial" w:eastAsia="Arial" w:hAnsi="Arial" w:cs="Arial"/>
          <w:color w:val="000000"/>
          <w:sz w:val="22"/>
          <w:szCs w:val="22"/>
          <w:lang w:eastAsia="en-AU"/>
        </w:rPr>
      </w:pPr>
      <w:r>
        <w:rPr>
          <w:rFonts w:ascii="Arial" w:eastAsia="Arial" w:hAnsi="Arial" w:cs="Arial"/>
          <w:color w:val="000000"/>
          <w:sz w:val="22"/>
          <w:szCs w:val="22"/>
          <w:lang w:eastAsia="en-AU"/>
        </w:rPr>
        <w:t>Communications</w:t>
      </w:r>
      <w:r w:rsidRPr="00592918">
        <w:rPr>
          <w:rFonts w:ascii="Arial" w:eastAsia="Arial" w:hAnsi="Arial" w:cs="Arial"/>
          <w:color w:val="000000"/>
          <w:sz w:val="22"/>
          <w:szCs w:val="22"/>
          <w:lang w:eastAsia="en-AU"/>
        </w:rPr>
        <w:t xml:space="preserve"> resource support, including website content maintenance, development of newsletters and Communiques, and social media management</w:t>
      </w:r>
      <w:r>
        <w:rPr>
          <w:rFonts w:ascii="Arial" w:eastAsia="Arial" w:hAnsi="Arial" w:cs="Arial"/>
          <w:color w:val="000000"/>
          <w:sz w:val="22"/>
          <w:szCs w:val="22"/>
          <w:lang w:eastAsia="en-AU"/>
        </w:rPr>
        <w:t xml:space="preserve"> for CORRP registries as required</w:t>
      </w:r>
    </w:p>
    <w:p w14:paraId="35146FD1" w14:textId="3A1E1541" w:rsidR="009C7F40" w:rsidRPr="00592918" w:rsidRDefault="009C7F40" w:rsidP="001D333F">
      <w:pPr>
        <w:numPr>
          <w:ilvl w:val="0"/>
          <w:numId w:val="2"/>
        </w:numPr>
        <w:pBdr>
          <w:top w:val="nil"/>
          <w:left w:val="nil"/>
          <w:bottom w:val="nil"/>
          <w:right w:val="nil"/>
          <w:between w:val="nil"/>
        </w:pBdr>
        <w:spacing w:after="120" w:line="240" w:lineRule="auto"/>
        <w:ind w:left="426" w:hanging="426"/>
        <w:rPr>
          <w:rFonts w:ascii="Arial" w:eastAsia="Arial" w:hAnsi="Arial" w:cs="Arial"/>
          <w:color w:val="000000"/>
          <w:sz w:val="22"/>
          <w:szCs w:val="22"/>
          <w:lang w:eastAsia="en-AU"/>
        </w:rPr>
      </w:pPr>
      <w:r>
        <w:rPr>
          <w:rFonts w:ascii="Arial" w:eastAsia="Arial" w:hAnsi="Arial" w:cs="Arial"/>
          <w:color w:val="000000"/>
          <w:sz w:val="22"/>
          <w:szCs w:val="22"/>
          <w:lang w:eastAsia="en-AU"/>
        </w:rPr>
        <w:t>Supporting the development of infographics and photograph selection for key registry publications (e.g., annual reports)</w:t>
      </w:r>
    </w:p>
    <w:p w14:paraId="6C1262AA" w14:textId="2F221FA7" w:rsidR="009C7F40" w:rsidRPr="00592918" w:rsidRDefault="009C7F40" w:rsidP="001D333F">
      <w:pPr>
        <w:numPr>
          <w:ilvl w:val="0"/>
          <w:numId w:val="2"/>
        </w:numPr>
        <w:pBdr>
          <w:top w:val="nil"/>
          <w:left w:val="nil"/>
          <w:bottom w:val="nil"/>
          <w:right w:val="nil"/>
          <w:between w:val="nil"/>
        </w:pBdr>
        <w:spacing w:after="120" w:line="240" w:lineRule="auto"/>
        <w:ind w:left="426" w:hanging="426"/>
        <w:rPr>
          <w:rFonts w:ascii="Arial" w:eastAsia="Arial" w:hAnsi="Arial" w:cs="Arial"/>
          <w:color w:val="000000"/>
          <w:sz w:val="22"/>
          <w:szCs w:val="22"/>
          <w:lang w:eastAsia="en-AU"/>
        </w:rPr>
      </w:pPr>
      <w:r w:rsidRPr="00592918">
        <w:rPr>
          <w:rFonts w:ascii="Arial" w:eastAsia="Arial" w:hAnsi="Arial" w:cs="Arial"/>
          <w:color w:val="000000"/>
          <w:sz w:val="22"/>
          <w:szCs w:val="22"/>
          <w:lang w:eastAsia="en-AU"/>
        </w:rPr>
        <w:t xml:space="preserve">Monitoring of external engagement (e.g., website visits, social media post interactions) and </w:t>
      </w:r>
      <w:r>
        <w:rPr>
          <w:rFonts w:ascii="Arial" w:eastAsia="Arial" w:hAnsi="Arial" w:cs="Arial"/>
          <w:color w:val="000000"/>
          <w:sz w:val="22"/>
          <w:szCs w:val="22"/>
          <w:lang w:eastAsia="en-AU"/>
        </w:rPr>
        <w:t>implementing</w:t>
      </w:r>
      <w:r w:rsidRPr="00592918">
        <w:rPr>
          <w:rFonts w:ascii="Arial" w:eastAsia="Arial" w:hAnsi="Arial" w:cs="Arial"/>
          <w:color w:val="000000"/>
          <w:sz w:val="22"/>
          <w:szCs w:val="22"/>
          <w:lang w:eastAsia="en-AU"/>
        </w:rPr>
        <w:t xml:space="preserve"> evaluation and feedback</w:t>
      </w:r>
      <w:r>
        <w:rPr>
          <w:rFonts w:ascii="Arial" w:eastAsia="Arial" w:hAnsi="Arial" w:cs="Arial"/>
          <w:color w:val="000000"/>
          <w:sz w:val="22"/>
          <w:szCs w:val="22"/>
          <w:lang w:eastAsia="en-AU"/>
        </w:rPr>
        <w:t xml:space="preserve"> processes</w:t>
      </w:r>
      <w:r w:rsidRPr="00592918">
        <w:rPr>
          <w:rFonts w:ascii="Arial" w:eastAsia="Arial" w:hAnsi="Arial" w:cs="Arial"/>
          <w:color w:val="000000"/>
          <w:sz w:val="22"/>
          <w:szCs w:val="22"/>
          <w:lang w:eastAsia="en-AU"/>
        </w:rPr>
        <w:t xml:space="preserve"> following key events</w:t>
      </w:r>
    </w:p>
    <w:p w14:paraId="18600760" w14:textId="68E19A24" w:rsidR="009C7F40" w:rsidRPr="00592918" w:rsidRDefault="009C7F40" w:rsidP="001D333F">
      <w:pPr>
        <w:numPr>
          <w:ilvl w:val="0"/>
          <w:numId w:val="2"/>
        </w:numPr>
        <w:pBdr>
          <w:top w:val="nil"/>
          <w:left w:val="nil"/>
          <w:bottom w:val="nil"/>
          <w:right w:val="nil"/>
          <w:between w:val="nil"/>
        </w:pBdr>
        <w:spacing w:after="120" w:line="240" w:lineRule="auto"/>
        <w:ind w:left="426" w:hanging="426"/>
        <w:rPr>
          <w:rFonts w:ascii="Arial" w:eastAsia="Arial" w:hAnsi="Arial" w:cs="Arial"/>
          <w:color w:val="000000"/>
          <w:sz w:val="22"/>
          <w:szCs w:val="22"/>
          <w:lang w:eastAsia="en-AU"/>
        </w:rPr>
      </w:pPr>
      <w:r>
        <w:rPr>
          <w:rFonts w:ascii="Arial" w:eastAsia="Arial" w:hAnsi="Arial" w:cs="Arial"/>
          <w:color w:val="000000"/>
          <w:sz w:val="22"/>
          <w:szCs w:val="22"/>
          <w:lang w:eastAsia="en-AU"/>
        </w:rPr>
        <w:t>A</w:t>
      </w:r>
      <w:r w:rsidRPr="00592918">
        <w:rPr>
          <w:rFonts w:ascii="Arial" w:eastAsia="Arial" w:hAnsi="Arial" w:cs="Arial"/>
          <w:color w:val="000000"/>
          <w:sz w:val="22"/>
          <w:szCs w:val="22"/>
          <w:lang w:eastAsia="en-AU"/>
        </w:rPr>
        <w:t>cademic promotional duties as requested by senior manage</w:t>
      </w:r>
      <w:r>
        <w:rPr>
          <w:rFonts w:ascii="Arial" w:eastAsia="Arial" w:hAnsi="Arial" w:cs="Arial"/>
          <w:color w:val="000000"/>
          <w:sz w:val="22"/>
          <w:szCs w:val="22"/>
          <w:lang w:eastAsia="en-AU"/>
        </w:rPr>
        <w:t>rs,</w:t>
      </w:r>
      <w:r w:rsidRPr="00592918">
        <w:rPr>
          <w:rFonts w:ascii="Arial" w:eastAsia="Arial" w:hAnsi="Arial" w:cs="Arial"/>
          <w:color w:val="000000"/>
          <w:sz w:val="22"/>
          <w:szCs w:val="22"/>
          <w:lang w:eastAsia="en-AU"/>
        </w:rPr>
        <w:t xml:space="preserve"> such as </w:t>
      </w:r>
      <w:r>
        <w:rPr>
          <w:rFonts w:ascii="Arial" w:eastAsia="Arial" w:hAnsi="Arial" w:cs="Arial"/>
          <w:color w:val="000000"/>
          <w:sz w:val="22"/>
          <w:szCs w:val="22"/>
          <w:lang w:eastAsia="en-AU"/>
        </w:rPr>
        <w:t xml:space="preserve">organising </w:t>
      </w:r>
      <w:r w:rsidRPr="00592918">
        <w:rPr>
          <w:rFonts w:ascii="Arial" w:eastAsia="Arial" w:hAnsi="Arial" w:cs="Arial"/>
          <w:color w:val="000000"/>
          <w:sz w:val="22"/>
          <w:szCs w:val="22"/>
          <w:lang w:eastAsia="en-AU"/>
        </w:rPr>
        <w:t xml:space="preserve">conference booth </w:t>
      </w:r>
      <w:r>
        <w:rPr>
          <w:rFonts w:ascii="Arial" w:eastAsia="Arial" w:hAnsi="Arial" w:cs="Arial"/>
          <w:color w:val="000000"/>
          <w:sz w:val="22"/>
          <w:szCs w:val="22"/>
          <w:lang w:eastAsia="en-AU"/>
        </w:rPr>
        <w:t>participation and registry promotional activities</w:t>
      </w:r>
    </w:p>
    <w:p w14:paraId="3707ABD7" w14:textId="31E342C0" w:rsidR="009C7F40" w:rsidRPr="00592918" w:rsidRDefault="009C7F40" w:rsidP="001D333F">
      <w:pPr>
        <w:numPr>
          <w:ilvl w:val="0"/>
          <w:numId w:val="2"/>
        </w:numPr>
        <w:pBdr>
          <w:top w:val="nil"/>
          <w:left w:val="nil"/>
          <w:bottom w:val="nil"/>
          <w:right w:val="nil"/>
          <w:between w:val="nil"/>
        </w:pBdr>
        <w:spacing w:after="120" w:line="240" w:lineRule="auto"/>
        <w:ind w:left="426" w:hanging="426"/>
        <w:rPr>
          <w:rFonts w:ascii="Arial" w:eastAsia="Arial" w:hAnsi="Arial" w:cs="Arial"/>
          <w:color w:val="000000"/>
          <w:sz w:val="22"/>
          <w:szCs w:val="22"/>
          <w:lang w:eastAsia="en-AU"/>
        </w:rPr>
      </w:pPr>
      <w:r w:rsidRPr="00592918">
        <w:rPr>
          <w:rFonts w:ascii="Arial" w:eastAsia="Arial" w:hAnsi="Arial" w:cs="Arial"/>
          <w:color w:val="000000"/>
          <w:sz w:val="22"/>
          <w:szCs w:val="22"/>
          <w:lang w:eastAsia="en-AU"/>
        </w:rPr>
        <w:t>Assistance with the planning of the Registry Annual Scientific Meeting (ASM) and provid</w:t>
      </w:r>
      <w:r w:rsidR="001D2027">
        <w:rPr>
          <w:rFonts w:ascii="Arial" w:eastAsia="Arial" w:hAnsi="Arial" w:cs="Arial"/>
          <w:color w:val="000000"/>
          <w:sz w:val="22"/>
          <w:szCs w:val="22"/>
          <w:lang w:eastAsia="en-AU"/>
        </w:rPr>
        <w:t>ing</w:t>
      </w:r>
      <w:r w:rsidRPr="00592918">
        <w:rPr>
          <w:rFonts w:ascii="Arial" w:eastAsia="Arial" w:hAnsi="Arial" w:cs="Arial"/>
          <w:color w:val="000000"/>
          <w:sz w:val="22"/>
          <w:szCs w:val="22"/>
          <w:lang w:eastAsia="en-AU"/>
        </w:rPr>
        <w:t xml:space="preserve"> support to the ASM Organising Committee</w:t>
      </w:r>
    </w:p>
    <w:p w14:paraId="3C583943" w14:textId="77777777" w:rsidR="009C7F40" w:rsidRPr="00592918" w:rsidRDefault="009C7F40" w:rsidP="001D333F">
      <w:pPr>
        <w:numPr>
          <w:ilvl w:val="0"/>
          <w:numId w:val="2"/>
        </w:numPr>
        <w:pBdr>
          <w:top w:val="nil"/>
          <w:left w:val="nil"/>
          <w:bottom w:val="nil"/>
          <w:right w:val="nil"/>
          <w:between w:val="nil"/>
        </w:pBdr>
        <w:spacing w:after="120" w:line="240" w:lineRule="auto"/>
        <w:ind w:left="426" w:hanging="426"/>
        <w:rPr>
          <w:rFonts w:ascii="Arial" w:eastAsia="Arial" w:hAnsi="Arial" w:cs="Arial"/>
          <w:color w:val="000000"/>
          <w:sz w:val="22"/>
          <w:szCs w:val="22"/>
          <w:lang w:eastAsia="en-AU"/>
        </w:rPr>
      </w:pPr>
      <w:r w:rsidRPr="00592918">
        <w:rPr>
          <w:rFonts w:ascii="Arial" w:eastAsia="Arial" w:hAnsi="Arial" w:cs="Arial"/>
          <w:color w:val="000000"/>
          <w:sz w:val="22"/>
          <w:szCs w:val="22"/>
          <w:lang w:eastAsia="en-AU"/>
        </w:rPr>
        <w:t>Facilitating the organisation and promotion of Registry Special Interest Group (SIG) meetings and events (e.g., webinars)</w:t>
      </w:r>
    </w:p>
    <w:p w14:paraId="1F99973C" w14:textId="581EE65D" w:rsidR="009C7F40" w:rsidRPr="00592918" w:rsidRDefault="009C7F40" w:rsidP="001D333F">
      <w:pPr>
        <w:numPr>
          <w:ilvl w:val="0"/>
          <w:numId w:val="2"/>
        </w:numPr>
        <w:pBdr>
          <w:top w:val="nil"/>
          <w:left w:val="nil"/>
          <w:bottom w:val="nil"/>
          <w:right w:val="nil"/>
          <w:between w:val="nil"/>
        </w:pBdr>
        <w:spacing w:after="120" w:line="240" w:lineRule="auto"/>
        <w:ind w:left="426" w:hanging="426"/>
        <w:rPr>
          <w:rFonts w:ascii="Arial" w:eastAsia="Arial" w:hAnsi="Arial" w:cs="Arial"/>
          <w:color w:val="000000"/>
          <w:sz w:val="22"/>
          <w:szCs w:val="22"/>
          <w:lang w:eastAsia="en-AU"/>
        </w:rPr>
      </w:pPr>
      <w:r w:rsidRPr="00592918">
        <w:rPr>
          <w:rFonts w:ascii="Arial" w:eastAsia="Arial" w:hAnsi="Arial" w:cs="Arial"/>
          <w:color w:val="000000"/>
          <w:sz w:val="22"/>
          <w:szCs w:val="22"/>
          <w:lang w:eastAsia="en-AU"/>
        </w:rPr>
        <w:t>Produc</w:t>
      </w:r>
      <w:r>
        <w:rPr>
          <w:rFonts w:ascii="Arial" w:eastAsia="Arial" w:hAnsi="Arial" w:cs="Arial"/>
          <w:color w:val="000000"/>
          <w:sz w:val="22"/>
          <w:szCs w:val="22"/>
          <w:lang w:eastAsia="en-AU"/>
        </w:rPr>
        <w:t>ing a</w:t>
      </w:r>
      <w:r w:rsidRPr="00592918">
        <w:rPr>
          <w:rFonts w:ascii="Arial" w:eastAsia="Arial" w:hAnsi="Arial" w:cs="Arial"/>
          <w:color w:val="000000"/>
          <w:sz w:val="22"/>
          <w:szCs w:val="22"/>
          <w:lang w:eastAsia="en-AU"/>
        </w:rPr>
        <w:t xml:space="preserve"> quarterly newsletter for the Registry SIG (called ‘The Benchmark’)</w:t>
      </w:r>
    </w:p>
    <w:p w14:paraId="624B8EBE" w14:textId="64A9B701" w:rsidR="009C7F40" w:rsidRDefault="009C7F40" w:rsidP="001D333F">
      <w:pPr>
        <w:numPr>
          <w:ilvl w:val="0"/>
          <w:numId w:val="2"/>
        </w:numPr>
        <w:pBdr>
          <w:top w:val="nil"/>
          <w:left w:val="nil"/>
          <w:bottom w:val="nil"/>
          <w:right w:val="nil"/>
          <w:between w:val="nil"/>
        </w:pBdr>
        <w:spacing w:after="120" w:line="240" w:lineRule="auto"/>
        <w:ind w:left="426" w:hanging="426"/>
        <w:rPr>
          <w:rFonts w:ascii="Arial" w:eastAsia="Arial" w:hAnsi="Arial" w:cs="Arial"/>
          <w:color w:val="000000"/>
          <w:sz w:val="22"/>
          <w:szCs w:val="22"/>
          <w:lang w:eastAsia="en-AU"/>
        </w:rPr>
      </w:pPr>
      <w:r w:rsidRPr="00592918">
        <w:rPr>
          <w:rFonts w:ascii="Arial" w:eastAsia="Arial" w:hAnsi="Arial" w:cs="Arial"/>
          <w:color w:val="000000"/>
          <w:sz w:val="22"/>
          <w:szCs w:val="22"/>
          <w:lang w:eastAsia="en-AU"/>
        </w:rPr>
        <w:t>Promoting and maintaining registry SIG participation and membership</w:t>
      </w:r>
    </w:p>
    <w:p w14:paraId="1EBAC84B" w14:textId="5FED4BC0" w:rsidR="00D23660" w:rsidRPr="009C7F40" w:rsidRDefault="009C7F40" w:rsidP="001D333F">
      <w:pPr>
        <w:numPr>
          <w:ilvl w:val="0"/>
          <w:numId w:val="2"/>
        </w:numPr>
        <w:pBdr>
          <w:top w:val="nil"/>
          <w:left w:val="nil"/>
          <w:bottom w:val="nil"/>
          <w:right w:val="nil"/>
          <w:between w:val="nil"/>
        </w:pBdr>
        <w:spacing w:after="120" w:line="240" w:lineRule="auto"/>
        <w:ind w:left="426" w:hanging="426"/>
        <w:rPr>
          <w:rFonts w:ascii="Arial" w:eastAsia="Arial" w:hAnsi="Arial" w:cs="Arial"/>
          <w:color w:val="000000"/>
          <w:sz w:val="22"/>
          <w:szCs w:val="22"/>
          <w:lang w:eastAsia="en-AU"/>
        </w:rPr>
      </w:pPr>
      <w:r>
        <w:rPr>
          <w:rFonts w:ascii="Arial" w:eastAsia="Arial" w:hAnsi="Arial" w:cs="Arial"/>
          <w:color w:val="000000"/>
          <w:sz w:val="22"/>
          <w:szCs w:val="22"/>
          <w:lang w:eastAsia="en-AU"/>
        </w:rPr>
        <w:t>Other activities as directed from time to time such as supporting registry meetings through minute-taking,</w:t>
      </w:r>
      <w:r w:rsidR="001D2027">
        <w:rPr>
          <w:rFonts w:ascii="Arial" w:eastAsia="Arial" w:hAnsi="Arial" w:cs="Arial"/>
          <w:color w:val="000000"/>
          <w:sz w:val="22"/>
          <w:szCs w:val="22"/>
          <w:lang w:eastAsia="en-AU"/>
        </w:rPr>
        <w:t xml:space="preserve"> </w:t>
      </w:r>
      <w:r>
        <w:rPr>
          <w:rFonts w:ascii="Arial" w:eastAsia="Arial" w:hAnsi="Arial" w:cs="Arial"/>
          <w:color w:val="000000"/>
          <w:sz w:val="22"/>
          <w:szCs w:val="22"/>
          <w:lang w:eastAsia="en-AU"/>
        </w:rPr>
        <w:t>or organising meetings for key engagement activities.</w:t>
      </w:r>
    </w:p>
    <w:p w14:paraId="74B7C3AB" w14:textId="45B9F9BF" w:rsidR="00372198" w:rsidRPr="00C03183" w:rsidRDefault="001D333F">
      <w:pPr>
        <w:pStyle w:val="Heading2"/>
        <w:rPr>
          <w:rFonts w:ascii="Arial Narrow" w:hAnsi="Arial Narrow" w:cs="Arial"/>
          <w:bCs/>
          <w:sz w:val="32"/>
          <w:szCs w:val="32"/>
        </w:rPr>
      </w:pPr>
      <w:r>
        <w:rPr>
          <w:rFonts w:ascii="Arial Narrow" w:hAnsi="Arial Narrow" w:cs="Arial"/>
          <w:bCs/>
          <w:sz w:val="32"/>
          <w:szCs w:val="32"/>
        </w:rPr>
        <w:br w:type="column"/>
      </w:r>
      <w:r w:rsidR="001D2BFD" w:rsidRPr="00C03183">
        <w:rPr>
          <w:rFonts w:ascii="Arial Narrow" w:hAnsi="Arial Narrow" w:cs="Arial"/>
          <w:bCs/>
          <w:sz w:val="32"/>
          <w:szCs w:val="32"/>
        </w:rPr>
        <w:lastRenderedPageBreak/>
        <w:t>Key selection criteria</w:t>
      </w:r>
    </w:p>
    <w:p w14:paraId="079C8FEA" w14:textId="77777777" w:rsidR="009C7F40" w:rsidRPr="00C14A0F" w:rsidRDefault="009C7F40" w:rsidP="001D333F">
      <w:pPr>
        <w:keepNext/>
        <w:spacing w:after="120" w:line="240" w:lineRule="auto"/>
        <w:rPr>
          <w:rFonts w:ascii="Arial" w:eastAsia="Arial" w:hAnsi="Arial" w:cs="Arial"/>
          <w:b/>
          <w:color w:val="000000"/>
          <w:sz w:val="22"/>
          <w:szCs w:val="22"/>
          <w:lang w:eastAsia="en-AU"/>
        </w:rPr>
      </w:pPr>
      <w:r w:rsidRPr="00C14A0F">
        <w:rPr>
          <w:rFonts w:ascii="Arial" w:eastAsia="Arial" w:hAnsi="Arial" w:cs="Arial"/>
          <w:b/>
          <w:color w:val="000000"/>
          <w:sz w:val="22"/>
          <w:szCs w:val="22"/>
          <w:lang w:eastAsia="en-AU"/>
        </w:rPr>
        <w:t>Education/Qualifications</w:t>
      </w:r>
    </w:p>
    <w:p w14:paraId="1C49AD25" w14:textId="251C684E" w:rsidR="009C7F40" w:rsidRPr="001D333F" w:rsidRDefault="009C7F40" w:rsidP="001D333F">
      <w:pPr>
        <w:pStyle w:val="ListParagraph"/>
        <w:numPr>
          <w:ilvl w:val="3"/>
          <w:numId w:val="2"/>
        </w:numPr>
        <w:pBdr>
          <w:top w:val="nil"/>
          <w:left w:val="nil"/>
          <w:bottom w:val="nil"/>
          <w:right w:val="nil"/>
          <w:between w:val="nil"/>
        </w:pBdr>
        <w:spacing w:after="120" w:line="240" w:lineRule="auto"/>
        <w:ind w:left="426" w:hanging="425"/>
        <w:contextualSpacing w:val="0"/>
        <w:rPr>
          <w:rFonts w:ascii="Arial" w:eastAsia="Arial" w:hAnsi="Arial" w:cs="Arial"/>
          <w:color w:val="000000"/>
          <w:sz w:val="22"/>
          <w:szCs w:val="22"/>
          <w:lang w:eastAsia="en-AU"/>
        </w:rPr>
      </w:pPr>
      <w:r w:rsidRPr="001D333F">
        <w:rPr>
          <w:rFonts w:ascii="Arial" w:eastAsia="Arial" w:hAnsi="Arial" w:cs="Arial"/>
          <w:color w:val="000000"/>
          <w:sz w:val="22"/>
          <w:szCs w:val="22"/>
          <w:lang w:eastAsia="en-AU"/>
        </w:rPr>
        <w:t>The appointee will have:</w:t>
      </w:r>
    </w:p>
    <w:p w14:paraId="51843391" w14:textId="77777777" w:rsidR="009C7F40" w:rsidRPr="00C14A0F" w:rsidRDefault="009C7F40" w:rsidP="001D333F">
      <w:pPr>
        <w:pStyle w:val="ListParagraph"/>
        <w:numPr>
          <w:ilvl w:val="0"/>
          <w:numId w:val="5"/>
        </w:numPr>
        <w:pBdr>
          <w:top w:val="nil"/>
          <w:left w:val="nil"/>
          <w:bottom w:val="nil"/>
          <w:right w:val="nil"/>
          <w:between w:val="nil"/>
        </w:pBdr>
        <w:spacing w:after="120" w:line="240" w:lineRule="auto"/>
        <w:ind w:left="851" w:hanging="425"/>
        <w:contextualSpacing w:val="0"/>
        <w:rPr>
          <w:rFonts w:ascii="Arial" w:eastAsia="Arial" w:hAnsi="Arial" w:cs="Arial"/>
          <w:sz w:val="22"/>
          <w:szCs w:val="22"/>
          <w:lang w:eastAsia="en-AU"/>
        </w:rPr>
      </w:pPr>
      <w:r w:rsidRPr="00C14A0F">
        <w:rPr>
          <w:rFonts w:ascii="Arial" w:eastAsia="Arial" w:hAnsi="Arial" w:cs="Arial"/>
          <w:sz w:val="22"/>
          <w:szCs w:val="22"/>
          <w:lang w:eastAsia="en-AU"/>
        </w:rPr>
        <w:t>A degree in a relevant field with subsequent relevant experience; or</w:t>
      </w:r>
    </w:p>
    <w:p w14:paraId="57BB1452" w14:textId="77777777" w:rsidR="009C7F40" w:rsidRPr="00C14A0F" w:rsidRDefault="009C7F40" w:rsidP="001D333F">
      <w:pPr>
        <w:pStyle w:val="ListParagraph"/>
        <w:numPr>
          <w:ilvl w:val="0"/>
          <w:numId w:val="5"/>
        </w:numPr>
        <w:pBdr>
          <w:top w:val="nil"/>
          <w:left w:val="nil"/>
          <w:bottom w:val="nil"/>
          <w:right w:val="nil"/>
          <w:between w:val="nil"/>
        </w:pBdr>
        <w:spacing w:after="120" w:line="240" w:lineRule="auto"/>
        <w:ind w:left="851" w:hanging="425"/>
        <w:contextualSpacing w:val="0"/>
        <w:rPr>
          <w:rFonts w:ascii="Arial" w:eastAsia="Arial" w:hAnsi="Arial" w:cs="Arial"/>
          <w:sz w:val="22"/>
          <w:szCs w:val="22"/>
          <w:lang w:eastAsia="en-AU"/>
        </w:rPr>
      </w:pPr>
      <w:r w:rsidRPr="00C14A0F">
        <w:rPr>
          <w:rFonts w:ascii="Arial" w:eastAsia="Arial" w:hAnsi="Arial" w:cs="Arial"/>
          <w:sz w:val="22"/>
          <w:szCs w:val="22"/>
          <w:lang w:eastAsia="en-AU"/>
        </w:rPr>
        <w:t>extensive experience and specialist expertise or broad knowledge in technical or administrative fields; or</w:t>
      </w:r>
    </w:p>
    <w:p w14:paraId="3F07750A" w14:textId="77777777" w:rsidR="009C7F40" w:rsidRDefault="009C7F40" w:rsidP="001D333F">
      <w:pPr>
        <w:pStyle w:val="ListParagraph"/>
        <w:numPr>
          <w:ilvl w:val="0"/>
          <w:numId w:val="5"/>
        </w:numPr>
        <w:pBdr>
          <w:top w:val="nil"/>
          <w:left w:val="nil"/>
          <w:bottom w:val="nil"/>
          <w:right w:val="nil"/>
          <w:between w:val="nil"/>
        </w:pBdr>
        <w:spacing w:after="120" w:line="240" w:lineRule="auto"/>
        <w:ind w:left="851" w:hanging="425"/>
        <w:contextualSpacing w:val="0"/>
        <w:rPr>
          <w:rFonts w:ascii="Arial" w:eastAsia="Arial" w:hAnsi="Arial" w:cs="Arial"/>
          <w:sz w:val="22"/>
          <w:szCs w:val="22"/>
          <w:lang w:eastAsia="en-AU"/>
        </w:rPr>
      </w:pPr>
      <w:r w:rsidRPr="00C14A0F">
        <w:rPr>
          <w:rFonts w:ascii="Arial" w:eastAsia="Arial" w:hAnsi="Arial" w:cs="Arial"/>
          <w:sz w:val="22"/>
          <w:szCs w:val="22"/>
          <w:lang w:eastAsia="en-AU"/>
        </w:rPr>
        <w:t>an equivalent combination of relevant experience and/or education/training.</w:t>
      </w:r>
    </w:p>
    <w:p w14:paraId="656483BC" w14:textId="77777777" w:rsidR="009C7F40" w:rsidRPr="00C14A0F" w:rsidRDefault="009C7F40" w:rsidP="001D333F">
      <w:pPr>
        <w:keepNext/>
        <w:spacing w:after="120" w:line="240" w:lineRule="auto"/>
        <w:rPr>
          <w:rFonts w:ascii="Arial" w:eastAsia="Arial" w:hAnsi="Arial" w:cs="Arial"/>
          <w:b/>
          <w:color w:val="000000"/>
          <w:sz w:val="22"/>
          <w:szCs w:val="22"/>
          <w:lang w:eastAsia="en-AU"/>
        </w:rPr>
      </w:pPr>
      <w:r w:rsidRPr="00C14A0F">
        <w:rPr>
          <w:rFonts w:ascii="Arial" w:eastAsia="Arial" w:hAnsi="Arial" w:cs="Arial"/>
          <w:b/>
          <w:color w:val="000000"/>
          <w:sz w:val="22"/>
          <w:szCs w:val="22"/>
          <w:lang w:eastAsia="en-AU"/>
        </w:rPr>
        <w:t>Knowledge and Skills</w:t>
      </w:r>
    </w:p>
    <w:p w14:paraId="5C1EA41A" w14:textId="77777777" w:rsidR="009C7F40" w:rsidRPr="00592918" w:rsidRDefault="009C7F40" w:rsidP="001D333F">
      <w:pPr>
        <w:numPr>
          <w:ilvl w:val="0"/>
          <w:numId w:val="4"/>
        </w:numPr>
        <w:pBdr>
          <w:top w:val="nil"/>
          <w:left w:val="nil"/>
          <w:bottom w:val="nil"/>
          <w:right w:val="nil"/>
          <w:between w:val="nil"/>
        </w:pBdr>
        <w:spacing w:after="120" w:line="240" w:lineRule="auto"/>
        <w:ind w:left="426" w:hanging="426"/>
        <w:rPr>
          <w:rFonts w:ascii="Arial" w:eastAsia="Arial" w:hAnsi="Arial" w:cs="Arial"/>
          <w:sz w:val="22"/>
          <w:szCs w:val="22"/>
          <w:lang w:eastAsia="en-AU"/>
        </w:rPr>
      </w:pPr>
      <w:r w:rsidRPr="00C14A0F">
        <w:rPr>
          <w:rFonts w:ascii="Arial" w:eastAsia="Arial" w:hAnsi="Arial" w:cs="Arial"/>
          <w:color w:val="000000"/>
          <w:sz w:val="22"/>
          <w:szCs w:val="22"/>
          <w:lang w:eastAsia="en-AU"/>
        </w:rPr>
        <w:t xml:space="preserve">Highly-developed written and verbal communication skills, including the ability to interact with a diverse </w:t>
      </w:r>
      <w:r w:rsidRPr="00592918">
        <w:rPr>
          <w:rFonts w:ascii="Arial" w:eastAsia="Arial" w:hAnsi="Arial" w:cs="Arial"/>
          <w:sz w:val="22"/>
          <w:szCs w:val="22"/>
          <w:lang w:eastAsia="en-AU"/>
        </w:rPr>
        <w:t>range of stakeholders and negotiate positive outcomes to complex issues</w:t>
      </w:r>
    </w:p>
    <w:p w14:paraId="1E8A6D5D" w14:textId="77777777" w:rsidR="009C7F40" w:rsidRPr="00592918" w:rsidRDefault="009C7F40" w:rsidP="001D333F">
      <w:pPr>
        <w:numPr>
          <w:ilvl w:val="0"/>
          <w:numId w:val="4"/>
        </w:numPr>
        <w:pBdr>
          <w:top w:val="nil"/>
          <w:left w:val="nil"/>
          <w:bottom w:val="nil"/>
          <w:right w:val="nil"/>
          <w:between w:val="nil"/>
        </w:pBdr>
        <w:spacing w:after="120" w:line="240" w:lineRule="auto"/>
        <w:ind w:left="426" w:hanging="426"/>
        <w:rPr>
          <w:rFonts w:ascii="Arial" w:eastAsia="Arial" w:hAnsi="Arial" w:cs="Arial"/>
          <w:sz w:val="22"/>
          <w:szCs w:val="22"/>
          <w:lang w:eastAsia="en-AU"/>
        </w:rPr>
      </w:pPr>
      <w:r w:rsidRPr="00592918">
        <w:rPr>
          <w:rFonts w:ascii="Arial" w:eastAsia="Arial" w:hAnsi="Arial" w:cs="Arial"/>
          <w:sz w:val="22"/>
          <w:szCs w:val="22"/>
          <w:lang w:eastAsia="en-AU"/>
        </w:rPr>
        <w:t>Excellent organisational skills, including the ability to set priorities, manage time and plan work to meet deadlines</w:t>
      </w:r>
    </w:p>
    <w:p w14:paraId="3F923C30" w14:textId="2D7FE7CF" w:rsidR="009C7F40" w:rsidRPr="00592918" w:rsidRDefault="009C7F40" w:rsidP="001D333F">
      <w:pPr>
        <w:numPr>
          <w:ilvl w:val="0"/>
          <w:numId w:val="4"/>
        </w:numPr>
        <w:pBdr>
          <w:top w:val="nil"/>
          <w:left w:val="nil"/>
          <w:bottom w:val="nil"/>
          <w:right w:val="nil"/>
          <w:between w:val="nil"/>
        </w:pBdr>
        <w:spacing w:after="120" w:line="240" w:lineRule="auto"/>
        <w:ind w:left="426" w:hanging="426"/>
        <w:rPr>
          <w:rFonts w:ascii="Arial" w:eastAsia="Arial" w:hAnsi="Arial" w:cs="Arial"/>
          <w:sz w:val="22"/>
          <w:szCs w:val="22"/>
          <w:lang w:eastAsia="en-AU"/>
        </w:rPr>
      </w:pPr>
      <w:r w:rsidRPr="00592918">
        <w:rPr>
          <w:rFonts w:ascii="Arial" w:eastAsia="Arial" w:hAnsi="Arial" w:cs="Arial"/>
          <w:sz w:val="22"/>
          <w:szCs w:val="22"/>
          <w:lang w:eastAsia="en-AU"/>
        </w:rPr>
        <w:t>Excellent project coordination skills with the ability to support projects through to completion in accordance with agreed standards and timeframes</w:t>
      </w:r>
    </w:p>
    <w:p w14:paraId="681BC824" w14:textId="77777777" w:rsidR="009C7F40" w:rsidRPr="00592918" w:rsidRDefault="009C7F40" w:rsidP="001D333F">
      <w:pPr>
        <w:numPr>
          <w:ilvl w:val="0"/>
          <w:numId w:val="4"/>
        </w:numPr>
        <w:pBdr>
          <w:top w:val="nil"/>
          <w:left w:val="nil"/>
          <w:bottom w:val="nil"/>
          <w:right w:val="nil"/>
          <w:between w:val="nil"/>
        </w:pBdr>
        <w:spacing w:after="120" w:line="240" w:lineRule="auto"/>
        <w:ind w:left="426" w:hanging="426"/>
        <w:rPr>
          <w:rFonts w:ascii="Arial" w:eastAsia="Arial" w:hAnsi="Arial" w:cs="Arial"/>
          <w:sz w:val="22"/>
          <w:szCs w:val="22"/>
          <w:lang w:eastAsia="en-AU"/>
        </w:rPr>
      </w:pPr>
      <w:r w:rsidRPr="00592918">
        <w:rPr>
          <w:rFonts w:ascii="Arial" w:eastAsia="Arial" w:hAnsi="Arial" w:cs="Arial"/>
          <w:sz w:val="22"/>
          <w:szCs w:val="22"/>
          <w:lang w:eastAsia="en-AU"/>
        </w:rPr>
        <w:t>Demonstrated ability to work as an effective member of a team as well as the ability to exercise high levels of independence, judgement and initiative</w:t>
      </w:r>
    </w:p>
    <w:p w14:paraId="0CD9EA98" w14:textId="77777777" w:rsidR="009C7F40" w:rsidRPr="00592918" w:rsidRDefault="009C7F40" w:rsidP="001D333F">
      <w:pPr>
        <w:numPr>
          <w:ilvl w:val="0"/>
          <w:numId w:val="4"/>
        </w:numPr>
        <w:pBdr>
          <w:top w:val="nil"/>
          <w:left w:val="nil"/>
          <w:bottom w:val="nil"/>
          <w:right w:val="nil"/>
          <w:between w:val="nil"/>
        </w:pBdr>
        <w:spacing w:after="120" w:line="240" w:lineRule="auto"/>
        <w:ind w:left="426" w:hanging="426"/>
        <w:rPr>
          <w:rFonts w:ascii="Arial" w:eastAsia="Arial" w:hAnsi="Arial" w:cs="Arial"/>
          <w:sz w:val="22"/>
          <w:szCs w:val="22"/>
          <w:lang w:eastAsia="en-AU"/>
        </w:rPr>
      </w:pPr>
      <w:r w:rsidRPr="00592918">
        <w:rPr>
          <w:rFonts w:ascii="Arial" w:eastAsia="Arial" w:hAnsi="Arial" w:cs="Arial"/>
          <w:sz w:val="22"/>
          <w:szCs w:val="22"/>
          <w:lang w:eastAsia="en-AU"/>
        </w:rPr>
        <w:t>Proven ability to adhere to protocols, standards and guidelines, including a thorough understanding of confidentiality, privacy and research ethics principles as required</w:t>
      </w:r>
    </w:p>
    <w:p w14:paraId="1F0970B5" w14:textId="77777777" w:rsidR="009C7F40" w:rsidRPr="00592918" w:rsidRDefault="009C7F40" w:rsidP="001D333F">
      <w:pPr>
        <w:numPr>
          <w:ilvl w:val="0"/>
          <w:numId w:val="4"/>
        </w:numPr>
        <w:pBdr>
          <w:top w:val="nil"/>
          <w:left w:val="nil"/>
          <w:bottom w:val="nil"/>
          <w:right w:val="nil"/>
          <w:between w:val="nil"/>
        </w:pBdr>
        <w:spacing w:after="120" w:line="240" w:lineRule="auto"/>
        <w:ind w:left="426" w:hanging="426"/>
        <w:rPr>
          <w:rFonts w:ascii="Arial" w:eastAsia="Arial" w:hAnsi="Arial" w:cs="Arial"/>
          <w:sz w:val="22"/>
          <w:szCs w:val="22"/>
          <w:lang w:eastAsia="en-AU"/>
        </w:rPr>
      </w:pPr>
      <w:r w:rsidRPr="00592918">
        <w:rPr>
          <w:rFonts w:ascii="Arial" w:eastAsia="Arial" w:hAnsi="Arial" w:cs="Arial"/>
          <w:sz w:val="22"/>
          <w:szCs w:val="22"/>
          <w:lang w:eastAsia="en-AU"/>
        </w:rPr>
        <w:t>Experience with advanced technologies including equipment and software, and demonstrated ability to quickly adapt to and learn new systems</w:t>
      </w:r>
    </w:p>
    <w:p w14:paraId="48359F07" w14:textId="2F583E97" w:rsidR="009C7F40" w:rsidRPr="00592918" w:rsidRDefault="009C7F40" w:rsidP="001D333F">
      <w:pPr>
        <w:numPr>
          <w:ilvl w:val="0"/>
          <w:numId w:val="4"/>
        </w:numPr>
        <w:pBdr>
          <w:top w:val="nil"/>
          <w:left w:val="nil"/>
          <w:bottom w:val="nil"/>
          <w:right w:val="nil"/>
          <w:between w:val="nil"/>
        </w:pBdr>
        <w:spacing w:after="120" w:line="240" w:lineRule="auto"/>
        <w:ind w:left="426" w:hanging="426"/>
        <w:rPr>
          <w:rFonts w:ascii="Arial" w:hAnsi="Arial" w:cs="Arial"/>
          <w:sz w:val="22"/>
          <w:szCs w:val="22"/>
        </w:rPr>
      </w:pPr>
      <w:r w:rsidRPr="00592918">
        <w:rPr>
          <w:rFonts w:ascii="Arial" w:hAnsi="Arial" w:cs="Arial"/>
          <w:sz w:val="22"/>
          <w:szCs w:val="22"/>
        </w:rPr>
        <w:t xml:space="preserve">Experience with social media </w:t>
      </w:r>
      <w:r w:rsidR="001D2027">
        <w:rPr>
          <w:rFonts w:ascii="Arial" w:hAnsi="Arial" w:cs="Arial"/>
          <w:sz w:val="22"/>
          <w:szCs w:val="22"/>
        </w:rPr>
        <w:t>in a professional capacity</w:t>
      </w:r>
    </w:p>
    <w:p w14:paraId="4C22B020" w14:textId="77777777" w:rsidR="009C7F40" w:rsidRPr="00592918" w:rsidRDefault="009C7F40" w:rsidP="001D333F">
      <w:pPr>
        <w:numPr>
          <w:ilvl w:val="0"/>
          <w:numId w:val="4"/>
        </w:numPr>
        <w:pBdr>
          <w:top w:val="nil"/>
          <w:left w:val="nil"/>
          <w:bottom w:val="nil"/>
          <w:right w:val="nil"/>
          <w:between w:val="nil"/>
        </w:pBdr>
        <w:spacing w:after="120" w:line="240" w:lineRule="auto"/>
        <w:ind w:left="426" w:hanging="426"/>
        <w:rPr>
          <w:rFonts w:ascii="Arial" w:hAnsi="Arial" w:cs="Arial"/>
          <w:sz w:val="22"/>
          <w:szCs w:val="22"/>
        </w:rPr>
      </w:pPr>
      <w:r w:rsidRPr="00592918">
        <w:rPr>
          <w:rFonts w:ascii="Arial" w:hAnsi="Arial" w:cs="Arial"/>
          <w:sz w:val="22"/>
          <w:szCs w:val="22"/>
        </w:rPr>
        <w:t>Experience in a research setting and/or familiarity with research and registry management</w:t>
      </w:r>
    </w:p>
    <w:p w14:paraId="155A39DA" w14:textId="77777777" w:rsidR="009C7F40" w:rsidRPr="00C03183" w:rsidRDefault="009C7F40" w:rsidP="009C7F40">
      <w:pPr>
        <w:pStyle w:val="Heading2"/>
        <w:rPr>
          <w:rFonts w:ascii="Arial Narrow" w:hAnsi="Arial Narrow" w:cs="Arial"/>
          <w:bCs/>
          <w:sz w:val="32"/>
          <w:szCs w:val="32"/>
        </w:rPr>
      </w:pPr>
      <w:r w:rsidRPr="00C03183">
        <w:rPr>
          <w:rFonts w:ascii="Arial Narrow" w:hAnsi="Arial Narrow" w:cs="Arial"/>
          <w:bCs/>
          <w:sz w:val="32"/>
          <w:szCs w:val="32"/>
        </w:rPr>
        <w:t>Other job related information</w:t>
      </w:r>
    </w:p>
    <w:p w14:paraId="416A1C10" w14:textId="77777777" w:rsidR="009C7F40" w:rsidRPr="00C14A0F" w:rsidRDefault="009C7F40" w:rsidP="009C7F40">
      <w:pPr>
        <w:numPr>
          <w:ilvl w:val="0"/>
          <w:numId w:val="1"/>
        </w:numPr>
        <w:pBdr>
          <w:top w:val="nil"/>
          <w:left w:val="nil"/>
          <w:bottom w:val="nil"/>
          <w:right w:val="nil"/>
          <w:between w:val="nil"/>
        </w:pBdr>
        <w:tabs>
          <w:tab w:val="left" w:pos="284"/>
        </w:tabs>
        <w:spacing w:after="0" w:line="240" w:lineRule="auto"/>
        <w:rPr>
          <w:rFonts w:ascii="Arial" w:eastAsia="Arial" w:hAnsi="Arial" w:cs="Arial"/>
          <w:sz w:val="22"/>
          <w:szCs w:val="22"/>
          <w:lang w:eastAsia="en-AU"/>
        </w:rPr>
      </w:pPr>
      <w:r w:rsidRPr="00C14A0F">
        <w:rPr>
          <w:rFonts w:ascii="Arial" w:eastAsia="Arial" w:hAnsi="Arial" w:cs="Arial"/>
          <w:sz w:val="22"/>
          <w:szCs w:val="22"/>
          <w:lang w:eastAsia="en-AU"/>
        </w:rPr>
        <w:t xml:space="preserve">Travel to other campuses of the University </w:t>
      </w:r>
      <w:r>
        <w:rPr>
          <w:rFonts w:ascii="Arial" w:eastAsia="Arial" w:hAnsi="Arial" w:cs="Arial"/>
          <w:sz w:val="22"/>
          <w:szCs w:val="22"/>
          <w:lang w:eastAsia="en-AU"/>
        </w:rPr>
        <w:t xml:space="preserve">or conference venues </w:t>
      </w:r>
      <w:r w:rsidRPr="00C14A0F">
        <w:rPr>
          <w:rFonts w:ascii="Arial" w:eastAsia="Arial" w:hAnsi="Arial" w:cs="Arial"/>
          <w:sz w:val="22"/>
          <w:szCs w:val="22"/>
          <w:lang w:eastAsia="en-AU"/>
        </w:rPr>
        <w:t xml:space="preserve">may be required </w:t>
      </w:r>
    </w:p>
    <w:p w14:paraId="1EC370AD" w14:textId="77777777" w:rsidR="009C7F40" w:rsidRPr="00C14A0F" w:rsidRDefault="009C7F40" w:rsidP="009C7F40">
      <w:pPr>
        <w:numPr>
          <w:ilvl w:val="0"/>
          <w:numId w:val="1"/>
        </w:numPr>
        <w:pBdr>
          <w:top w:val="nil"/>
          <w:left w:val="nil"/>
          <w:bottom w:val="nil"/>
          <w:right w:val="nil"/>
          <w:between w:val="nil"/>
        </w:pBdr>
        <w:tabs>
          <w:tab w:val="left" w:pos="284"/>
        </w:tabs>
        <w:spacing w:after="0" w:line="240" w:lineRule="auto"/>
        <w:rPr>
          <w:rFonts w:ascii="Arial" w:eastAsia="Arial" w:hAnsi="Arial" w:cs="Arial"/>
          <w:sz w:val="22"/>
          <w:szCs w:val="22"/>
          <w:lang w:eastAsia="en-AU"/>
        </w:rPr>
      </w:pPr>
      <w:r w:rsidRPr="00C14A0F">
        <w:rPr>
          <w:rFonts w:ascii="Arial" w:eastAsia="Arial" w:hAnsi="Arial" w:cs="Arial"/>
          <w:sz w:val="22"/>
          <w:szCs w:val="22"/>
          <w:lang w:eastAsia="en-AU"/>
        </w:rPr>
        <w:t>There may be a requirement to work additional hours from time to time</w:t>
      </w:r>
    </w:p>
    <w:p w14:paraId="4AC64EAD" w14:textId="77777777" w:rsidR="009C7F40" w:rsidRDefault="009C7F40" w:rsidP="009C7F40">
      <w:pPr>
        <w:numPr>
          <w:ilvl w:val="0"/>
          <w:numId w:val="1"/>
        </w:numPr>
        <w:pBdr>
          <w:top w:val="nil"/>
          <w:left w:val="nil"/>
          <w:bottom w:val="nil"/>
          <w:right w:val="nil"/>
          <w:between w:val="nil"/>
        </w:pBdr>
        <w:tabs>
          <w:tab w:val="left" w:pos="284"/>
        </w:tabs>
        <w:spacing w:after="0" w:line="240" w:lineRule="auto"/>
        <w:rPr>
          <w:rFonts w:ascii="Arial" w:eastAsia="Arial" w:hAnsi="Arial" w:cs="Arial"/>
          <w:sz w:val="22"/>
          <w:szCs w:val="22"/>
          <w:lang w:eastAsia="en-AU"/>
        </w:rPr>
      </w:pPr>
      <w:r w:rsidRPr="00C14A0F">
        <w:rPr>
          <w:rFonts w:ascii="Arial" w:eastAsia="Arial" w:hAnsi="Arial" w:cs="Arial"/>
          <w:sz w:val="22"/>
          <w:szCs w:val="22"/>
          <w:lang w:eastAsia="en-AU"/>
        </w:rPr>
        <w:t>There may be peak periods of work during which taking of leave may be restricted</w:t>
      </w:r>
    </w:p>
    <w:p w14:paraId="52E09083" w14:textId="77777777" w:rsidR="00372198" w:rsidRPr="00C03183" w:rsidRDefault="001D2BFD" w:rsidP="00D23660">
      <w:pPr>
        <w:pStyle w:val="Heading2"/>
        <w:rPr>
          <w:rFonts w:ascii="Arial Narrow" w:hAnsi="Arial Narrow" w:cs="Arial"/>
          <w:bCs/>
          <w:sz w:val="32"/>
          <w:szCs w:val="32"/>
        </w:rPr>
      </w:pPr>
      <w:r w:rsidRPr="00C03183">
        <w:rPr>
          <w:rFonts w:ascii="Arial Narrow" w:hAnsi="Arial Narrow" w:cs="Arial"/>
          <w:bCs/>
          <w:sz w:val="32"/>
          <w:szCs w:val="32"/>
        </w:rPr>
        <w:t>GOVERNANCE</w:t>
      </w:r>
    </w:p>
    <w:p w14:paraId="0C14CE94" w14:textId="0A878A78" w:rsidR="00372198" w:rsidRPr="00C03183" w:rsidRDefault="001D2BFD">
      <w:pPr>
        <w:shd w:val="clear" w:color="auto" w:fill="FFFFFF"/>
        <w:spacing w:after="120" w:line="240" w:lineRule="auto"/>
        <w:rPr>
          <w:rFonts w:ascii="Arial" w:hAnsi="Arial" w:cs="Arial"/>
          <w:color w:val="000000"/>
          <w:sz w:val="22"/>
          <w:szCs w:val="22"/>
        </w:rPr>
      </w:pPr>
      <w:r w:rsidRPr="00C03183">
        <w:rPr>
          <w:rFonts w:ascii="Arial" w:hAnsi="Arial" w:cs="Arial"/>
          <w:color w:val="000000"/>
          <w:sz w:val="22"/>
          <w:szCs w:val="22"/>
        </w:rPr>
        <w:t>Monash University expects staff to appropriately balance risk and reward in a manner that is sustainable to its long-term future, contribute to a culture of honesty and integrity, and provide an environment that is safe, secure and inclusive.</w:t>
      </w:r>
      <w:r w:rsidR="00C14A0F">
        <w:rPr>
          <w:rFonts w:ascii="Arial" w:hAnsi="Arial" w:cs="Arial"/>
          <w:color w:val="000000"/>
          <w:sz w:val="22"/>
          <w:szCs w:val="22"/>
        </w:rPr>
        <w:t xml:space="preserve"> </w:t>
      </w:r>
      <w:r w:rsidRPr="00C03183">
        <w:rPr>
          <w:rFonts w:ascii="Arial" w:hAnsi="Arial" w:cs="Arial"/>
          <w:color w:val="000000"/>
          <w:sz w:val="22"/>
          <w:szCs w:val="22"/>
        </w:rPr>
        <w:t>Ensure you are aware of and adhere to University policies relevant to the duties undertaken and the values of the University. This is a standard which the University sees as the benchmark for all of its activities in Australia and internationally.</w:t>
      </w:r>
    </w:p>
    <w:p w14:paraId="1545C734" w14:textId="77777777" w:rsidR="00372198" w:rsidRPr="00C03183" w:rsidRDefault="001D2BFD">
      <w:pPr>
        <w:spacing w:after="120" w:line="240" w:lineRule="auto"/>
        <w:rPr>
          <w:rFonts w:ascii="Arial" w:hAnsi="Arial" w:cs="Arial"/>
          <w:sz w:val="22"/>
          <w:szCs w:val="22"/>
        </w:rPr>
      </w:pPr>
      <w:r w:rsidRPr="00C03183">
        <w:rPr>
          <w:rFonts w:ascii="Arial" w:hAnsi="Arial" w:cs="Arial"/>
          <w:sz w:val="22"/>
          <w:szCs w:val="22"/>
        </w:rPr>
        <w:t> </w:t>
      </w:r>
    </w:p>
    <w:sectPr w:rsidR="00372198" w:rsidRPr="00C03183" w:rsidSect="00C14A0F">
      <w:footerReference w:type="default" r:id="rId18"/>
      <w:headerReference w:type="first" r:id="rId19"/>
      <w:footerReference w:type="first" r:id="rId20"/>
      <w:pgSz w:w="11909" w:h="16833"/>
      <w:pgMar w:top="1559" w:right="1134" w:bottom="1276"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6C566" w14:textId="77777777" w:rsidR="00457465" w:rsidRDefault="00457465">
      <w:pPr>
        <w:spacing w:after="0" w:line="240" w:lineRule="auto"/>
      </w:pPr>
      <w:r>
        <w:separator/>
      </w:r>
    </w:p>
  </w:endnote>
  <w:endnote w:type="continuationSeparator" w:id="0">
    <w:p w14:paraId="49F1B2A8" w14:textId="77777777" w:rsidR="00457465" w:rsidRDefault="00457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0BF36" w14:textId="77777777" w:rsidR="00372198" w:rsidRDefault="00372198">
    <w:pPr>
      <w:widowControl w:val="0"/>
      <w:spacing w:after="0" w:line="240" w:lineRule="auto"/>
      <w:jc w:val="right"/>
      <w:rPr>
        <w:rFonts w:ascii="Arial" w:eastAsia="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1ED06" w14:textId="77777777" w:rsidR="00372198" w:rsidRDefault="001D2BFD">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45720" distB="45720" distL="114300" distR="114300" simplePos="0" relativeHeight="251659264" behindDoc="0" locked="0" layoutInCell="1" hidden="0" allowOverlap="1" wp14:anchorId="72F1B808" wp14:editId="3E2DF00F">
              <wp:simplePos x="0" y="0"/>
              <wp:positionH relativeFrom="column">
                <wp:posOffset>3746500</wp:posOffset>
              </wp:positionH>
              <wp:positionV relativeFrom="paragraph">
                <wp:posOffset>58420</wp:posOffset>
              </wp:positionV>
              <wp:extent cx="2379980" cy="231775"/>
              <wp:effectExtent l="0" t="0" r="0" b="0"/>
              <wp:wrapNone/>
              <wp:docPr id="218" name="Rectangle 218"/>
              <wp:cNvGraphicFramePr/>
              <a:graphic xmlns:a="http://schemas.openxmlformats.org/drawingml/2006/main">
                <a:graphicData uri="http://schemas.microsoft.com/office/word/2010/wordprocessingShape">
                  <wps:wsp>
                    <wps:cNvSpPr/>
                    <wps:spPr>
                      <a:xfrm>
                        <a:off x="4160773" y="3668875"/>
                        <a:ext cx="2370455" cy="222250"/>
                      </a:xfrm>
                      <a:prstGeom prst="rect">
                        <a:avLst/>
                      </a:prstGeom>
                      <a:noFill/>
                      <a:ln>
                        <a:noFill/>
                      </a:ln>
                    </wps:spPr>
                    <wps:txbx>
                      <w:txbxContent>
                        <w:p w14:paraId="035F51AF" w14:textId="38EF322A" w:rsidR="00372198" w:rsidRDefault="001D2BFD">
                          <w:pPr>
                            <w:spacing w:line="258" w:lineRule="auto"/>
                            <w:ind w:right="80"/>
                            <w:jc w:val="right"/>
                            <w:textDirection w:val="btLr"/>
                          </w:pPr>
                          <w:r>
                            <w:rPr>
                              <w:rFonts w:ascii="Arial" w:eastAsia="Arial" w:hAnsi="Arial" w:cs="Arial"/>
                              <w:i/>
                              <w:color w:val="AEAAAA"/>
                              <w:sz w:val="16"/>
                            </w:rPr>
                            <w:t xml:space="preserve">Modified date: </w:t>
                          </w:r>
                          <w:r w:rsidR="009C7F40" w:rsidRPr="009C7F40">
                            <w:rPr>
                              <w:rFonts w:ascii="Arial" w:hAnsi="Arial" w:cs="Arial"/>
                              <w:bCs/>
                              <w:i/>
                              <w:iCs/>
                              <w:sz w:val="16"/>
                              <w:szCs w:val="16"/>
                            </w:rPr>
                            <w:t>August 2024</w:t>
                          </w:r>
                        </w:p>
                      </w:txbxContent>
                    </wps:txbx>
                    <wps:bodyPr spcFirstLastPara="1" wrap="square" lIns="91425" tIns="45700" rIns="91425" bIns="45700" anchor="t" anchorCtr="0">
                      <a:noAutofit/>
                    </wps:bodyPr>
                  </wps:wsp>
                </a:graphicData>
              </a:graphic>
            </wp:anchor>
          </w:drawing>
        </mc:Choice>
        <mc:Fallback>
          <w:pict>
            <v:rect w14:anchorId="72F1B808" id="Rectangle 218" o:spid="_x0000_s1026" style="position:absolute;margin-left:295pt;margin-top:4.6pt;width:187.4pt;height:18.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" filled="f" stroked="f">
              <v:textbox inset="2.53958mm,1.2694mm,2.53958mm,1.2694mm">
                <w:txbxContent>
                  <w:p w14:paraId="035F51AF" w14:textId="38EF322A" w:rsidR="00372198" w:rsidRDefault="001D2BFD">
                    <w:pPr>
                      <w:spacing w:line="258" w:lineRule="auto"/>
                      <w:ind w:right="80"/>
                      <w:jc w:val="right"/>
                      <w:textDirection w:val="btLr"/>
                    </w:pPr>
                    <w:r>
                      <w:rPr>
                        <w:rFonts w:ascii="Arial" w:eastAsia="Arial" w:hAnsi="Arial" w:cs="Arial"/>
                        <w:i/>
                        <w:color w:val="AEAAAA"/>
                        <w:sz w:val="16"/>
                      </w:rPr>
                      <w:t xml:space="preserve">Modified date: </w:t>
                    </w:r>
                    <w:r w:rsidR="009C7F40" w:rsidRPr="009C7F40">
                      <w:rPr>
                        <w:rFonts w:ascii="Arial" w:hAnsi="Arial" w:cs="Arial"/>
                        <w:bCs/>
                        <w:i/>
                        <w:iCs/>
                        <w:sz w:val="16"/>
                        <w:szCs w:val="16"/>
                      </w:rPr>
                      <w:t>August 2024</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B9D51" w14:textId="77777777" w:rsidR="00457465" w:rsidRDefault="00457465">
      <w:pPr>
        <w:spacing w:after="0" w:line="240" w:lineRule="auto"/>
      </w:pPr>
      <w:r>
        <w:separator/>
      </w:r>
    </w:p>
  </w:footnote>
  <w:footnote w:type="continuationSeparator" w:id="0">
    <w:p w14:paraId="60C95284" w14:textId="77777777" w:rsidR="00457465" w:rsidRDefault="00457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9F1E4" w14:textId="73D91F23" w:rsidR="00372198" w:rsidRDefault="0037219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37D78"/>
    <w:multiLevelType w:val="multilevel"/>
    <w:tmpl w:val="696E2DD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14F0DE6"/>
    <w:multiLevelType w:val="multilevel"/>
    <w:tmpl w:val="3D2C2448"/>
    <w:lvl w:ilvl="0">
      <w:start w:val="1"/>
      <w:numFmt w:val="decimal"/>
      <w:lvlText w:val="%1."/>
      <w:lvlJc w:val="left"/>
      <w:pPr>
        <w:ind w:left="360" w:hanging="360"/>
      </w:pPr>
      <w:rPr>
        <w:rFonts w:hint="default"/>
        <w:b/>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778F6C31"/>
    <w:multiLevelType w:val="multilevel"/>
    <w:tmpl w:val="C4ACA60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84374A3"/>
    <w:multiLevelType w:val="multilevel"/>
    <w:tmpl w:val="A9A8422E"/>
    <w:lvl w:ilvl="0">
      <w:start w:val="2"/>
      <w:numFmt w:val="decimal"/>
      <w:lvlText w:val="%1."/>
      <w:lvlJc w:val="left"/>
      <w:pPr>
        <w:ind w:left="360" w:hanging="360"/>
      </w:pPr>
      <w:rPr>
        <w:rFonts w:hint="default"/>
        <w:b/>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C37151D"/>
    <w:multiLevelType w:val="multilevel"/>
    <w:tmpl w:val="566AA89E"/>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FF65D6D"/>
    <w:multiLevelType w:val="hybridMultilevel"/>
    <w:tmpl w:val="CA7CA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198"/>
    <w:rsid w:val="000471EC"/>
    <w:rsid w:val="00136314"/>
    <w:rsid w:val="001D2027"/>
    <w:rsid w:val="001D2BFD"/>
    <w:rsid w:val="001D333F"/>
    <w:rsid w:val="00205B92"/>
    <w:rsid w:val="00281E5D"/>
    <w:rsid w:val="002A7FE1"/>
    <w:rsid w:val="00372198"/>
    <w:rsid w:val="00396C84"/>
    <w:rsid w:val="00457465"/>
    <w:rsid w:val="00802687"/>
    <w:rsid w:val="009C7F40"/>
    <w:rsid w:val="00A83B10"/>
    <w:rsid w:val="00AF1663"/>
    <w:rsid w:val="00B375B6"/>
    <w:rsid w:val="00B962CF"/>
    <w:rsid w:val="00C03183"/>
    <w:rsid w:val="00C14A0F"/>
    <w:rsid w:val="00C5738F"/>
    <w:rsid w:val="00D23660"/>
    <w:rsid w:val="00D316C2"/>
    <w:rsid w:val="00E6681B"/>
    <w:rsid w:val="00F22113"/>
    <w:rsid w:val="00FF53E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D034F"/>
  <w15:docId w15:val="{809E5583-EDF2-4368-94D6-9D6DF8A3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1"/>
        <w:szCs w:val="21"/>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772"/>
  </w:style>
  <w:style w:type="paragraph" w:styleId="Heading1">
    <w:name w:val="heading 1"/>
    <w:basedOn w:val="Normal"/>
    <w:next w:val="Normal"/>
    <w:link w:val="Heading1Char"/>
    <w:uiPriority w:val="9"/>
    <w:qFormat/>
    <w:rsid w:val="00B977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97772"/>
    <w:pPr>
      <w:keepNext/>
      <w:keepLines/>
      <w:pBdr>
        <w:bottom w:val="single" w:sz="8" w:space="1" w:color="auto"/>
      </w:pBdr>
      <w:spacing w:before="100" w:after="80" w:line="600" w:lineRule="atLeast"/>
      <w:outlineLvl w:val="1"/>
    </w:pPr>
    <w:rPr>
      <w:rFonts w:eastAsiaTheme="majorEastAsia" w:cstheme="majorBidi"/>
      <w:b/>
      <w:caps/>
      <w:sz w:val="28"/>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7772"/>
    <w:pPr>
      <w:spacing w:before="160" w:after="260" w:line="240" w:lineRule="auto"/>
      <w:contextualSpacing/>
    </w:pPr>
    <w:rPr>
      <w:b/>
      <w:bCs/>
      <w:caps/>
      <w:spacing w:val="-10"/>
      <w:kern w:val="28"/>
      <w:sz w:val="53"/>
      <w:szCs w:val="56"/>
    </w:rPr>
  </w:style>
  <w:style w:type="paragraph" w:styleId="ListParagraph">
    <w:name w:val="List Paragraph"/>
    <w:basedOn w:val="Normal"/>
    <w:link w:val="ListParagraphChar"/>
    <w:uiPriority w:val="34"/>
    <w:qFormat/>
    <w:rsid w:val="00B97772"/>
    <w:pPr>
      <w:ind w:left="720"/>
      <w:contextualSpacing/>
    </w:pPr>
  </w:style>
  <w:style w:type="character" w:styleId="Hyperlink">
    <w:name w:val="Hyperlink"/>
    <w:basedOn w:val="DefaultParagraphFont"/>
    <w:uiPriority w:val="99"/>
    <w:unhideWhenUsed/>
    <w:rsid w:val="00B97772"/>
    <w:rPr>
      <w:color w:val="0563C1" w:themeColor="hyperlink"/>
      <w:u w:val="single"/>
    </w:rPr>
  </w:style>
  <w:style w:type="paragraph" w:styleId="BodyText">
    <w:name w:val="Body Text"/>
    <w:basedOn w:val="Normal"/>
    <w:link w:val="BodyTextChar"/>
    <w:uiPriority w:val="99"/>
    <w:unhideWhenUsed/>
    <w:rsid w:val="00B97772"/>
    <w:pPr>
      <w:spacing w:after="120" w:line="240" w:lineRule="auto"/>
    </w:pPr>
    <w:rPr>
      <w:rFonts w:ascii="Cambria" w:eastAsia="Cambria" w:hAnsi="Cambria" w:cs="Times New Roman"/>
      <w:sz w:val="24"/>
      <w:szCs w:val="24"/>
      <w:lang w:val="x-none" w:eastAsia="x-none"/>
    </w:rPr>
  </w:style>
  <w:style w:type="character" w:customStyle="1" w:styleId="BodyTextChar">
    <w:name w:val="Body Text Char"/>
    <w:basedOn w:val="DefaultParagraphFont"/>
    <w:link w:val="BodyText"/>
    <w:uiPriority w:val="99"/>
    <w:rsid w:val="00B97772"/>
    <w:rPr>
      <w:rFonts w:ascii="Cambria" w:eastAsia="Cambria" w:hAnsi="Cambria" w:cs="Times New Roman"/>
      <w:sz w:val="24"/>
      <w:szCs w:val="24"/>
      <w:lang w:val="x-none" w:eastAsia="x-none"/>
    </w:rPr>
  </w:style>
  <w:style w:type="paragraph" w:customStyle="1" w:styleId="BodyText0">
    <w:name w:val="BodyText"/>
    <w:basedOn w:val="BodyText"/>
    <w:next w:val="BodyText"/>
    <w:qFormat/>
    <w:rsid w:val="00B97772"/>
    <w:pPr>
      <w:spacing w:after="0"/>
    </w:pPr>
    <w:rPr>
      <w:rFonts w:asciiTheme="minorHAnsi" w:hAnsiTheme="minorHAnsi"/>
      <w:color w:val="000000"/>
      <w:sz w:val="20"/>
    </w:rPr>
  </w:style>
  <w:style w:type="paragraph" w:styleId="BodyTextIndent">
    <w:name w:val="Body Text Indent"/>
    <w:basedOn w:val="Normal"/>
    <w:link w:val="BodyTextIndentChar"/>
    <w:rsid w:val="00B97772"/>
    <w:pPr>
      <w:spacing w:after="120" w:line="240" w:lineRule="auto"/>
      <w:ind w:left="283"/>
    </w:pPr>
    <w:rPr>
      <w:rFonts w:ascii="Cambria" w:eastAsia="Cambria" w:hAnsi="Cambria" w:cs="Times New Roman"/>
      <w:sz w:val="24"/>
      <w:szCs w:val="24"/>
      <w:lang w:eastAsia="en-US"/>
    </w:rPr>
  </w:style>
  <w:style w:type="character" w:customStyle="1" w:styleId="BodyTextIndentChar">
    <w:name w:val="Body Text Indent Char"/>
    <w:basedOn w:val="DefaultParagraphFont"/>
    <w:link w:val="BodyTextIndent"/>
    <w:rsid w:val="00B97772"/>
    <w:rPr>
      <w:rFonts w:ascii="Cambria" w:eastAsia="Cambria" w:hAnsi="Cambria" w:cs="Times New Roman"/>
      <w:sz w:val="24"/>
      <w:szCs w:val="24"/>
      <w:lang w:eastAsia="en-US"/>
    </w:rPr>
  </w:style>
  <w:style w:type="character" w:customStyle="1" w:styleId="ListParagraphChar">
    <w:name w:val="List Paragraph Char"/>
    <w:basedOn w:val="DefaultParagraphFont"/>
    <w:link w:val="ListParagraph"/>
    <w:uiPriority w:val="34"/>
    <w:rsid w:val="00B97772"/>
    <w:rPr>
      <w:sz w:val="21"/>
    </w:rPr>
  </w:style>
  <w:style w:type="paragraph" w:styleId="BalloonText">
    <w:name w:val="Balloon Text"/>
    <w:basedOn w:val="Normal"/>
    <w:link w:val="BalloonTextChar"/>
    <w:uiPriority w:val="99"/>
    <w:semiHidden/>
    <w:unhideWhenUsed/>
    <w:rsid w:val="00B9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772"/>
    <w:rPr>
      <w:rFonts w:ascii="Segoe UI" w:hAnsi="Segoe UI" w:cs="Segoe UI"/>
      <w:sz w:val="18"/>
      <w:szCs w:val="18"/>
    </w:rPr>
  </w:style>
  <w:style w:type="paragraph" w:styleId="NormalWeb">
    <w:name w:val="Normal (Web)"/>
    <w:basedOn w:val="Normal"/>
    <w:uiPriority w:val="99"/>
    <w:rsid w:val="00B97772"/>
    <w:pPr>
      <w:spacing w:before="100" w:beforeAutospacing="1" w:after="100" w:afterAutospacing="1" w:line="240" w:lineRule="auto"/>
    </w:pPr>
    <w:rPr>
      <w:rFonts w:ascii="Times New Roman" w:eastAsia="Times New Roman" w:hAnsi="Times New Roman" w:cs="Times New Roman"/>
      <w:color w:val="000000"/>
      <w:sz w:val="24"/>
      <w:szCs w:val="24"/>
      <w:lang w:val="en-US" w:eastAsia="en-US"/>
    </w:rPr>
  </w:style>
  <w:style w:type="paragraph" w:styleId="Header">
    <w:name w:val="header"/>
    <w:basedOn w:val="Normal"/>
    <w:link w:val="HeaderChar"/>
    <w:uiPriority w:val="99"/>
    <w:unhideWhenUsed/>
    <w:rsid w:val="00B97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772"/>
    <w:rPr>
      <w:sz w:val="21"/>
    </w:rPr>
  </w:style>
  <w:style w:type="paragraph" w:styleId="Footer">
    <w:name w:val="footer"/>
    <w:basedOn w:val="Normal"/>
    <w:link w:val="FooterChar"/>
    <w:uiPriority w:val="99"/>
    <w:unhideWhenUsed/>
    <w:rsid w:val="00B977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772"/>
    <w:rPr>
      <w:sz w:val="21"/>
    </w:rPr>
  </w:style>
  <w:style w:type="character" w:customStyle="1" w:styleId="Heading1Char">
    <w:name w:val="Heading 1 Char"/>
    <w:basedOn w:val="DefaultParagraphFont"/>
    <w:link w:val="Heading1"/>
    <w:uiPriority w:val="9"/>
    <w:rsid w:val="00B9777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97772"/>
    <w:rPr>
      <w:rFonts w:ascii="Calibri" w:eastAsiaTheme="majorEastAsia" w:hAnsi="Calibri" w:cstheme="majorBidi"/>
      <w:b/>
      <w:caps/>
      <w:sz w:val="28"/>
      <w:szCs w:val="26"/>
    </w:rPr>
  </w:style>
  <w:style w:type="paragraph" w:styleId="NoSpacing">
    <w:name w:val="No Spacing"/>
    <w:uiPriority w:val="1"/>
    <w:qFormat/>
    <w:rsid w:val="00B97772"/>
    <w:pPr>
      <w:spacing w:after="0" w:line="240" w:lineRule="auto"/>
    </w:pPr>
  </w:style>
  <w:style w:type="character" w:customStyle="1" w:styleId="TitleChar">
    <w:name w:val="Title Char"/>
    <w:basedOn w:val="DefaultParagraphFont"/>
    <w:link w:val="Title"/>
    <w:uiPriority w:val="10"/>
    <w:rsid w:val="00B97772"/>
    <w:rPr>
      <w:rFonts w:ascii="Calibri" w:hAnsi="Calibri"/>
      <w:b/>
      <w:bCs/>
      <w:caps/>
      <w:spacing w:val="-10"/>
      <w:kern w:val="28"/>
      <w:sz w:val="53"/>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1" w:type="dxa"/>
        <w:right w:w="71"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387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onash.edu/jobs/inclusive-workplac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onash.edu/about/who/a-culture-of-integrity-and-respect/equity-diversity-inclusion/staff/equitable-decision-making/achievement-relative-to-opportunity" TargetMode="External"/><Relationship Id="rId17" Type="http://schemas.openxmlformats.org/officeDocument/2006/relationships/hyperlink" Target="https://www.monash.edu/about/who/a-culture-of-integrity-and-respect/equity-diversity-inclusion/staff/equitable-decision-making/achievement-relative-to-opportunity" TargetMode="External"/><Relationship Id="rId2" Type="http://schemas.openxmlformats.org/officeDocument/2006/relationships/numbering" Target="numbering.xml"/><Relationship Id="rId16" Type="http://schemas.openxmlformats.org/officeDocument/2006/relationships/hyperlink" Target="http://www.monash.edu/medicin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ash.edu/about/strategic-direction/strategic-plan" TargetMode="External"/><Relationship Id="rId5" Type="http://schemas.openxmlformats.org/officeDocument/2006/relationships/webSettings" Target="webSettings.xml"/><Relationship Id="rId15" Type="http://schemas.openxmlformats.org/officeDocument/2006/relationships/hyperlink" Target="https://change-it.monash.edu/" TargetMode="External"/><Relationship Id="rId10" Type="http://schemas.openxmlformats.org/officeDocument/2006/relationships/hyperlink" Target="https://www.monash.ed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onash.edu/gender-equ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l/e0OV0oJqzuHA2iUIEdHyQnBA==">AMUW2mVgjT0uO4nfK6jeP3Yxm57ASBHzOX2XgmTRdsZFFw7mONYmx1DVnlI2UHT6JhiGbiM2xtsJaBuYlnPT1yL6BhdTAp5ApNZNMCJ52q+G52C3KFtilfRtZdkpHvwu3U2UwQon8Rf9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Reid</dc:creator>
  <cp:lastModifiedBy>Jane Batchelor</cp:lastModifiedBy>
  <cp:revision>2</cp:revision>
  <dcterms:created xsi:type="dcterms:W3CDTF">2024-09-20T02:17:00Z</dcterms:created>
  <dcterms:modified xsi:type="dcterms:W3CDTF">2024-09-20T02:17:00Z</dcterms:modified>
</cp:coreProperties>
</file>